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media/image5.wmf" ContentType="image/x-wmf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4"/>
        <w:widowControl/>
        <w:tabs>
          <w:tab w:leader="none" w:pos="1985" w:val="left"/>
          <w:tab w:leader="none" w:pos="2552" w:val="left"/>
        </w:tabs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0"/>
        <w:tabs>
          <w:tab w:leader="none" w:pos="1985" w:val="left"/>
          <w:tab w:leader="none" w:pos="2552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  <w:t>REPÚBLICA DE COLOMBIA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>MINISTERIO DE DEFENSA NACIONAL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>ARMADA NACIONAL</w:t>
      </w:r>
    </w:p>
    <w:p>
      <w:pPr>
        <w:pStyle w:val="style0"/>
        <w:tabs>
          <w:tab w:leader="none" w:pos="1985" w:val="left"/>
          <w:tab w:leader="none" w:pos="2552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drawing>
          <wp:inline distB="0" distL="0" distR="0" distT="0">
            <wp:extent cx="543560" cy="755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 xml:space="preserve">DIRECCIÓN GENERAL MARÍTIMA 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4"/>
        <w:widowControl/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670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  <w:t>RESOLUCIÓN NUMERO        0443           DE  2001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  <w:t>(         14 NOV. 2001       )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4"/>
        <w:widowControl/>
        <w:tabs>
          <w:tab w:leader="none" w:pos="5245" w:val="left"/>
        </w:tabs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  <w:t>Por la cual se establece el régimen de inspecciones de las embarcaciones deportivas de bandera colombiana.</w:t>
      </w:r>
    </w:p>
    <w:p>
      <w:pPr>
        <w:pStyle w:val="style34"/>
        <w:widowControl/>
        <w:tabs>
          <w:tab w:leader="none" w:pos="5245" w:val="left"/>
        </w:tabs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>EL DIRECTOR GENERAL MARÍTIMO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 xml:space="preserve">En ejercicio de las facultades otorgadas mediante el numeral 9 del artículo 5, los numerales 3 y 7  del artículo 11 del Decreto Ley 2324 de 1984, y 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4"/>
        <w:widowControl/>
        <w:overflowPunct w:val="true"/>
        <w:autoSpaceDE w:val="true"/>
        <w:textAlignment w:val="auto"/>
        <w:rPr>
          <w:rFonts w:ascii="Arial" w:cs="Arial" w:hAnsi="Arial"/>
        </w:rPr>
      </w:pPr>
      <w:r>
        <w:rPr>
          <w:rFonts w:ascii="Arial" w:cs="Arial" w:hAnsi="Arial"/>
        </w:rPr>
        <w:t>CONSIDERANDO :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3"/>
        <w:ind w:hanging="0" w:left="0" w:right="0"/>
        <w:rPr>
          <w:rFonts w:ascii="Arial" w:cs="Arial" w:hAnsi="Arial"/>
        </w:rPr>
      </w:pPr>
      <w:r>
        <w:rPr>
          <w:rFonts w:ascii="Arial" w:cs="Arial" w:hAnsi="Arial"/>
        </w:rPr>
        <w:t>Que el numeral 9 del artículo 5 del Decreto Ley 2324 de 1984 consagra que es función y atribución de la Autoridad Marítima la de regular, efectuar y controlar la inscripción, registro, inspección, clasificación, matrícula y patente de las  naves y artefactos navales.</w:t>
      </w:r>
    </w:p>
    <w:p>
      <w:pPr>
        <w:pStyle w:val="style0"/>
        <w:jc w:val="both"/>
        <w:rPr>
          <w:rFonts w:ascii="Arial" w:cs="Arial" w:hAnsi="Arial"/>
          <w:i/>
        </w:rPr>
      </w:pPr>
      <w:r>
        <w:rPr>
          <w:rFonts w:ascii="Arial" w:cs="Arial" w:hAnsi="Arial"/>
          <w:i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el artículo 113 del Decreto Ley 2324 de 1984, prevé que las inspecciones ordinarias a las naves y artefactos navales se efectuarán den</w:t>
        <w:softHyphen/>
        <w:t>tro de los plazos y lugares que fije la reglamentación y las inspecciones extraordinarias se dispondrán cuando la autoridad marítima lo considere convenien</w:t>
        <w:softHyphen/>
        <w:t>te.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sectPr>
          <w:headerReference r:id="rId3" w:type="default"/>
          <w:footerReference r:id="rId4" w:type="default"/>
          <w:type w:val="nextPage"/>
          <w:pgSz w:h="15840" w:w="12240"/>
          <w:pgMar w:bottom="1694" w:footer="1418" w:gutter="0" w:header="1418" w:left="1701" w:right="1701" w:top="1694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2268" w:val="left"/>
        </w:tabs>
        <w:jc w:val="both"/>
        <w:rPr>
          <w:rFonts w:ascii="Arial" w:cs="Arial" w:hAnsi="Arial"/>
        </w:rPr>
      </w:pPr>
      <w:r>
        <w:rPr>
          <w:rFonts w:ascii="Arial" w:cs="Arial" w:hAnsi="Arial"/>
        </w:rPr>
        <w:t>Que el artículo 116 señala que la Dirección Marítima otorgará los correspondientes certificados de seguridad a las naves y artefactos navales inspeccionados cuando reúnan las condiciones de seguridad previstas en la ley, en los convenios internacionales incorporados al ordenamiento jurídico nacional y en la reglamentación.</w:t>
      </w:r>
    </w:p>
    <w:p>
      <w:pPr>
        <w:sectPr>
          <w:headerReference r:id="rId5" w:type="default"/>
          <w:type w:val="nextPage"/>
          <w:pgSz w:h="15840" w:w="12240"/>
          <w:pgMar w:bottom="1418" w:footer="0" w:gutter="0" w:header="709" w:left="1701" w:right="1701" w:top="1418"/>
          <w:pgNumType w:fmt="decimal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Que en mérito de lo anterior, el Director General Marítimo, 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4"/>
        <w:widowControl/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  <w:t>RESUELVE</w:t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  <w:b/>
          <w:bCs/>
          <w:lang w:val="es-MX"/>
        </w:rPr>
      </w:pPr>
      <w:r>
        <w:rPr>
          <w:rFonts w:ascii="Arial" w:cs="Arial" w:hAnsi="Arial"/>
          <w:b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</w:t>
      </w:r>
      <w:r>
        <w:rPr>
          <w:rFonts w:ascii="Arial" w:cs="Arial" w:hAnsi="Arial"/>
          <w:b/>
        </w:rPr>
        <w:t xml:space="preserve"> 1° OBJETO.-   </w:t>
      </w:r>
      <w:r>
        <w:rPr>
          <w:rFonts w:ascii="Arial" w:cs="Arial" w:hAnsi="Arial"/>
        </w:rPr>
        <w:t xml:space="preserve">  La presente resolución tiene por objeto establecer el régimen de inspecciones de las embarcaciones deportivas de bandera colombiana.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 2°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</w:rPr>
        <w:t xml:space="preserve">DEFINICIONES .- </w:t>
      </w:r>
      <w:r>
        <w:rPr>
          <w:rFonts w:ascii="Arial" w:cs="Arial" w:hAnsi="Arial"/>
        </w:rPr>
        <w:t>Para efectos de la aplicación de la presente resolución se entenderá por: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Certificado de Seguridad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Certificado emitido por la Autoridad Marítima Nacional, en el que se describe  la totalidad de los elementos y equipos de navegación, seguridad y emergencia  de los que debe estar dotada una embarcación y que la hacen apta para navegar  dependiendo del área de navegación.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Embarcación deportiva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 Las naves dedicadas exclusivamente a los deportes náuticos, pesca deportiva o  recreación.</w:t>
      </w:r>
    </w:p>
    <w:p>
      <w:pPr>
        <w:pStyle w:val="style0"/>
        <w:jc w:val="both"/>
        <w:rPr>
          <w:rFonts w:ascii="Arial" w:cs="Arial" w:hAnsi="Arial"/>
          <w:b/>
          <w:bCs/>
          <w:iCs/>
          <w:lang w:val="es-MX"/>
        </w:rPr>
      </w:pPr>
      <w:r>
        <w:rPr>
          <w:rFonts w:ascii="Arial" w:cs="Arial" w:hAnsi="Arial"/>
          <w:b/>
          <w:bCs/>
          <w:iCs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Embarcaciones Especiales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Son embarcaciones que tienen un régimen especial en cuanto a las inspecciones y su periodicidad. Se consideran embarcaciones especiales los yates de gran porte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Propietario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es la persona natural o jurídica a cuyo nombre está registrada la embarcación.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 xml:space="preserve">Yate: </w:t>
      </w:r>
      <w:r>
        <w:rPr>
          <w:rFonts w:ascii="Arial" w:cs="Arial" w:hAnsi="Arial"/>
          <w:lang w:val="es-MX"/>
        </w:rPr>
        <w:t>Es la embarcación destinada al deporte y/o recreo, con propulsión a vela y/o motor, que tiene cubierta cerrada y con capacidad de habitabilidad, se dividen en: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1"/>
          <w:numId w:val="6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i/>
          <w:lang w:val="es-MX"/>
        </w:rPr>
        <w:t>Yate de Gran Porte:</w:t>
      </w:r>
      <w:r>
        <w:rPr>
          <w:rFonts w:ascii="Arial" w:cs="Arial" w:hAnsi="Arial"/>
          <w:lang w:val="es-MX"/>
        </w:rPr>
        <w:t xml:space="preserve"> es el yate con una eslora igual o mayor de 24 metros y/o con un arqueo bruto de 50, el cual necesita disposiciones especiales y específicamente en los relacionado con las inspecciones y niveles de exigencia.</w:t>
      </w:r>
    </w:p>
    <w:p>
      <w:pPr>
        <w:pStyle w:val="style0"/>
        <w:ind w:hanging="0" w:left="36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1"/>
          <w:numId w:val="6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i/>
          <w:lang w:val="es-MX"/>
        </w:rPr>
        <w:t>Yate de Medio Porte:</w:t>
      </w:r>
      <w:r>
        <w:rPr>
          <w:rFonts w:ascii="Arial" w:cs="Arial" w:hAnsi="Arial"/>
          <w:lang w:val="es-MX"/>
        </w:rPr>
        <w:t xml:space="preserve"> es el yate con una eslora menor de 24 metros e igual o mayor de 6 metros.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ind w:hanging="0" w:left="36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1"/>
          <w:numId w:val="6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i/>
          <w:lang w:val="es-MX"/>
        </w:rPr>
        <w:t>Yate de Pequeño Porte:</w:t>
      </w:r>
      <w:r>
        <w:rPr>
          <w:rFonts w:ascii="Arial" w:cs="Arial" w:hAnsi="Arial"/>
          <w:lang w:val="es-MX"/>
        </w:rPr>
        <w:t xml:space="preserve"> es el yate con una eslora menor de 6 metros.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</w:rPr>
        <w:t>ARTÍCULO 3°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/>
          <w:bCs/>
          <w:iCs/>
          <w:lang w:val="es-MX"/>
        </w:rPr>
        <w:t>Áreas de navegación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 Para efectos de dotación de equipos de navegación, seguridad y salvamento y licencia se establecen las siguientes áreas de navegación: 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1"/>
          <w:numId w:val="8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Mar Abierto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Navegación efectuada en aguas no protegidas y para efectos de la aplicación de este decreto será subdividida en:</w:t>
      </w:r>
    </w:p>
    <w:p>
      <w:pPr>
        <w:pStyle w:val="style0"/>
        <w:ind w:hanging="0" w:left="36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5"/>
          <w:numId w:val="8"/>
        </w:numPr>
        <w:ind w:hanging="720" w:left="1980" w:right="0"/>
        <w:jc w:val="both"/>
        <w:rPr>
          <w:rFonts w:ascii="Arial" w:cs="Arial" w:hAnsi="Arial"/>
          <w:lang w:val="es-MX"/>
        </w:rPr>
      </w:pPr>
      <w:r>
        <w:rPr>
          <w:rFonts w:ascii="Arial" w:cs="Arial" w:eastAsia="Arial" w:hAnsi="Arial"/>
          <w:lang w:val="es-MX"/>
        </w:rPr>
        <w:t xml:space="preserve"> </w:t>
      </w:r>
      <w:r>
        <w:rPr>
          <w:rFonts w:ascii="Arial" w:cs="Arial" w:hAnsi="Arial"/>
          <w:b/>
          <w:bCs/>
          <w:iCs/>
          <w:lang w:val="es-MX"/>
        </w:rPr>
        <w:t>Navegación Costera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Aquella realizada dentro de los límites de visibilidad de la costa y hasta una distancia de doce (12) millas.</w:t>
      </w:r>
    </w:p>
    <w:p>
      <w:pPr>
        <w:pStyle w:val="style0"/>
        <w:ind w:hanging="0" w:left="126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5"/>
          <w:numId w:val="8"/>
        </w:numPr>
        <w:ind w:hanging="720" w:left="198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Navegación Oceánica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Es la navegación en mar abierto sin restricciones geográficas.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1"/>
          <w:numId w:val="8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Interior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Navegación efectuada en aguas consideradas protegidas y para efectos de  este decreto se subdivide en:</w:t>
      </w:r>
    </w:p>
    <w:p>
      <w:pPr>
        <w:pStyle w:val="style0"/>
        <w:ind w:hanging="0" w:left="36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4"/>
          <w:numId w:val="8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lang w:val="es-MX"/>
        </w:rPr>
        <w:t>Área 1</w:t>
      </w:r>
      <w:r>
        <w:rPr>
          <w:rFonts w:ascii="Arial" w:cs="Arial" w:hAnsi="Arial"/>
          <w:lang w:val="es-MX"/>
        </w:rPr>
        <w:t>: Áreas protegidas donde normalmente no se presentan olas de altura significativa ni condiciones adversas de viento, corrientes y mareas, que no dificultan la navegación.</w:t>
      </w:r>
    </w:p>
    <w:p>
      <w:pPr>
        <w:pStyle w:val="style0"/>
        <w:ind w:hanging="0" w:left="1440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4"/>
          <w:numId w:val="8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  <w:iCs/>
          <w:lang w:val="es-MX"/>
        </w:rPr>
        <w:t>Área 2</w:t>
      </w:r>
      <w:r>
        <w:rPr>
          <w:rFonts w:ascii="Arial" w:cs="Arial" w:hAnsi="Arial"/>
          <w:i/>
          <w:lang w:val="es-MX"/>
        </w:rPr>
        <w:t>:</w:t>
      </w:r>
      <w:r>
        <w:rPr>
          <w:rFonts w:ascii="Arial" w:cs="Arial" w:hAnsi="Arial"/>
          <w:lang w:val="es-MX"/>
        </w:rPr>
        <w:t xml:space="preserve"> Áreas parcialmente protegidas, donde eventualmente se presentan olas con altura significativas y/o condiciones adversas de viento, corrientes y mareas o combinaciones adversas de estos elementos, que dificultan la navegación.</w:t>
      </w:r>
    </w:p>
    <w:p>
      <w:pPr>
        <w:pStyle w:val="style28"/>
        <w:widowControl/>
        <w:overflowPunct w:val="true"/>
        <w:autoSpaceDE w:val="true"/>
        <w:textAlignment w:val="auto"/>
        <w:rPr>
          <w:rFonts w:ascii="Arial" w:cs="Arial" w:hAnsi="Arial"/>
          <w:szCs w:val="24"/>
          <w:lang w:val="es-MX"/>
        </w:rPr>
      </w:pPr>
      <w:r>
        <w:rPr>
          <w:rFonts w:ascii="Arial" w:cs="Arial" w:hAnsi="Arial"/>
          <w:szCs w:val="24"/>
          <w:lang w:val="es-MX"/>
        </w:rPr>
      </w:r>
    </w:p>
    <w:p>
      <w:pPr>
        <w:pStyle w:val="style28"/>
        <w:widowControl/>
        <w:overflowPunct w:val="true"/>
        <w:autoSpaceDE w:val="true"/>
        <w:textAlignment w:val="auto"/>
        <w:rPr>
          <w:rFonts w:ascii="Arial" w:cs="Arial" w:hAnsi="Arial"/>
          <w:color w:val="008000"/>
          <w:szCs w:val="24"/>
          <w:lang w:val="es-MX"/>
        </w:rPr>
      </w:pPr>
      <w:r>
        <w:rPr>
          <w:rFonts w:ascii="Arial" w:cs="Arial" w:hAnsi="Arial"/>
          <w:szCs w:val="24"/>
          <w:lang w:val="es-MX"/>
        </w:rPr>
        <w:t>PARÁGRAFO 1: Cuando una embarcación opere en dos áreas, deberá cumplir con los requisitos del área más</w:t>
      </w:r>
      <w:r>
        <w:rPr>
          <w:rFonts w:ascii="Arial" w:cs="Arial" w:hAnsi="Arial"/>
          <w:color w:val="008000"/>
          <w:szCs w:val="24"/>
          <w:lang w:val="es-MX"/>
        </w:rPr>
        <w:t xml:space="preserve"> </w:t>
      </w:r>
      <w:r>
        <w:rPr>
          <w:rFonts w:ascii="Arial" w:cs="Arial" w:hAnsi="Arial"/>
          <w:szCs w:val="24"/>
          <w:lang w:val="es-MX"/>
        </w:rPr>
        <w:t>exigente</w:t>
      </w:r>
      <w:r>
        <w:rPr>
          <w:rFonts w:ascii="Arial" w:cs="Arial" w:hAnsi="Arial"/>
          <w:color w:val="008000"/>
          <w:szCs w:val="24"/>
          <w:lang w:val="es-MX"/>
        </w:rPr>
        <w:t xml:space="preserve">. 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  <w:t>PARÁGRAFO 2: Las diferentes áreas de navegación interior serán determinadas por las Capitanías de Puerto de acuerdo al estudio de las características locales.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b/>
          <w:bCs/>
        </w:rPr>
        <w:t xml:space="preserve">ARTÍCULO 4° </w:t>
      </w:r>
      <w:r>
        <w:rPr>
          <w:rFonts w:ascii="Arial" w:cs="Arial" w:hAnsi="Arial"/>
          <w:bCs/>
          <w:lang w:val="es-MX"/>
        </w:rPr>
        <w:t>L</w:t>
      </w:r>
      <w:r>
        <w:rPr>
          <w:rFonts w:ascii="Arial" w:cs="Arial" w:hAnsi="Arial"/>
        </w:rPr>
        <w:t>as embarcaciones deportivas se clasifican  en: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De acuerdo con las áreas de navegación en: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4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De navegación de Mar Abierto.</w:t>
      </w:r>
    </w:p>
    <w:p>
      <w:pPr>
        <w:pStyle w:val="style0"/>
        <w:ind w:hanging="900" w:left="1260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4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De navegación de Áreas Internas.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De acuerdo con su propulsión.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2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Con propulsión: El sistema de propulsión puede ser motor de centro, motor fuera de borda, a velas, a remo.</w:t>
      </w:r>
    </w:p>
    <w:p>
      <w:pPr>
        <w:pStyle w:val="style0"/>
        <w:ind w:hanging="720" w:left="1440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2"/>
          <w:numId w:val="9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Sin propulsión: cuando la embarcación no cuente con medios de propulsión y sea remolcada o empujada por otra que cuente con medios de propulsión.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9"/>
        </w:numPr>
        <w:rPr>
          <w:rFonts w:ascii="Arial" w:cs="Arial" w:hAnsi="Arial"/>
        </w:rPr>
      </w:pPr>
      <w:r>
        <w:rPr>
          <w:rFonts w:ascii="Arial" w:cs="Arial" w:hAnsi="Arial"/>
        </w:rPr>
        <w:t>Tipo de embarcación: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Canoa: Embarcación de una sola pieza construida del tronco de un árbol, propulsada a remo.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Kayak: Embarcación de fibra de vidrio empleada para recreación o deporte náutico.</w:t>
      </w: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Motomarina: Elemento motonáutico construido en fibra de vidrio, propulsada con motor, empleada para la recreación o el deporte náutico.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Bote: </w:t>
      </w:r>
      <w:r>
        <w:rPr>
          <w:rFonts w:ascii="Arial" w:cs="Arial" w:hAnsi="Arial"/>
          <w:lang w:val="es-MX"/>
        </w:rPr>
        <w:t xml:space="preserve">Embarcaciones con una eslora igual o menor a cinco (5) metro, o una </w:t>
      </w:r>
      <w:r>
        <w:rPr>
          <w:rFonts w:ascii="Arial" w:cs="Arial" w:hAnsi="Arial"/>
        </w:rPr>
        <w:t>embarcación con eslora mayor a cinco (5) metros, con cubierta abierta o cubierta cerrada pero sin cabina habitable y sin medio de propulsión fijo y si utilizan motor fuera de borda, este no exceda los treinta (30) HP. (se considera cabina habitable la que posea condiciones de habitabilidad).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</w:rPr>
        <w:t>Artefacto náutico deportivo flotante:</w:t>
      </w:r>
      <w:r>
        <w:rPr>
          <w:rFonts w:ascii="Arial" w:cs="Arial" w:hAnsi="Arial"/>
          <w:lang w:val="es-MX"/>
        </w:rPr>
        <w:t xml:space="preserve"> Artefacto sin propulsión, utilizado para la práctica de actividades deportivas, destinados a ser remolcados y con un largo igual o menor de cinco (5) metros.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Lancha: embarcación de madera y fibra de vidrio con cabina, propulsada con motor fuera de borda.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rPr>
          <w:rFonts w:ascii="Arial" w:cs="Arial" w:hAnsi="Arial"/>
        </w:rPr>
      </w:pPr>
      <w:r>
        <w:rPr>
          <w:rFonts w:ascii="Arial" w:cs="Arial" w:hAnsi="Arial"/>
        </w:rPr>
        <w:t>Velero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numPr>
          <w:ilvl w:val="0"/>
          <w:numId w:val="5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</w:rPr>
        <w:t>Yate:</w:t>
      </w:r>
      <w:r>
        <w:rPr>
          <w:rFonts w:ascii="Arial" w:cs="Arial" w:hAnsi="Arial"/>
          <w:lang w:val="es-MX"/>
        </w:rPr>
        <w:t xml:space="preserve"> Es la embarcación destinada al deporte y/o recreo, con propulsión a vela y/o motor, que tiene cubierta cerrada y con capacidad de habitabilidad.</w:t>
      </w:r>
    </w:p>
    <w:p>
      <w:pPr>
        <w:pStyle w:val="style0"/>
        <w:rPr>
          <w:rFonts w:ascii="Arial" w:cs="Arial" w:hAnsi="Arial"/>
          <w:b/>
          <w:bCs/>
          <w:lang w:val="es-MX"/>
        </w:rPr>
      </w:pPr>
      <w:r>
        <w:rPr>
          <w:rFonts w:ascii="Arial" w:cs="Arial" w:hAnsi="Arial"/>
          <w:b/>
          <w:bCs/>
          <w:lang w:val="es-MX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 5° INSPECCIONES  DE CERTIFICACIÓN.-</w:t>
      </w:r>
      <w:r>
        <w:rPr>
          <w:rFonts w:ascii="Arial" w:cs="Arial" w:hAnsi="Arial"/>
        </w:rPr>
        <w:t xml:space="preserve"> Las embarcaciones deportivas estarán sujetas a una inspección inicial para efectos de matrícula y expedición del certificado de seguridad y a inspecciones periódicas cada dos (2) años, para mantener la validez del certificado de seguridad, siendo necesario el diligenciamiento del formato único oficial y consistirán en: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  <w:t>Inspección de casco y del equipo,  acompañada de pruebas,  cuando sea necesario,  a fin de garantizar que cumple las condiciones que se especifican en el certificado de navegabilidad y que su estado es satisfactorio e idóneo para el servicio de la embarcación.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</w:rPr>
      </w:pPr>
      <w:r>
        <w:rPr>
          <w:rFonts w:ascii="Arial" w:cs="Arial" w:hAnsi="Arial"/>
          <w:lang w:val="es-MX"/>
        </w:rPr>
        <w:t>Inspección minuciosa de elementos de salvamento y seguridad, material náutico, y resto del equipo, comprobando su buen funcionamiento</w:t>
      </w:r>
      <w:r>
        <w:rPr>
          <w:rFonts w:ascii="Arial" w:cs="Arial" w:hAnsi="Arial"/>
        </w:rPr>
        <w:t>.</w:t>
      </w:r>
    </w:p>
    <w:p>
      <w:pPr>
        <w:pStyle w:val="style0"/>
        <w:ind w:hanging="0" w:left="705" w:right="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0"/>
          <w:numId w:val="3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  <w:t>Verificación que a bordo de las embarcaciones se encuentran, certificados, libros de registros, manual de instrucción, comprobación y funcionamiento de la embarcación.</w:t>
      </w:r>
    </w:p>
    <w:p>
      <w:pPr>
        <w:pStyle w:val="style28"/>
        <w:rPr>
          <w:rFonts w:ascii="Arial" w:cs="Arial" w:hAnsi="Arial"/>
          <w:b/>
          <w:lang w:val="es-MX"/>
        </w:rPr>
      </w:pPr>
      <w:r>
        <w:rPr>
          <w:rFonts w:ascii="Arial" w:cs="Arial" w:hAnsi="Arial"/>
          <w:b/>
          <w:lang w:val="es-MX"/>
        </w:rPr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  <w:b/>
          <w:lang w:val="es-MX"/>
        </w:rPr>
        <w:t xml:space="preserve">ARTÍCULO 6°.-INSPECCIÓN DE ARQUEO.- </w:t>
      </w:r>
      <w:r>
        <w:rPr>
          <w:rFonts w:ascii="Arial" w:cs="Arial" w:hAnsi="Arial"/>
        </w:rPr>
        <w:t>Toda embarcación deportiva que vaya a ser matriculada o  que haya sido objeto de modificaciones en su infraestructura, deberá ser inspeccionada por un perito inspector que efectuará  el calculo del arqueo bruto y arqueo neto .</w:t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8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PARÁGRAFO 1.-</w:t>
      </w:r>
      <w:r>
        <w:rPr>
          <w:rFonts w:ascii="Arial" w:cs="Arial" w:hAnsi="Arial"/>
        </w:rPr>
        <w:t xml:space="preserve"> Las embarcaciones con eslora igual o menor a doce (12) metros no están obligadas al procedimiento de cálculo de arqueo, este se determinará por la tabulación establecida.</w:t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8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 7° INSPECCIONES ADICIONALES.-</w:t>
      </w:r>
      <w:r>
        <w:rPr>
          <w:rFonts w:ascii="Arial" w:cs="Arial" w:hAnsi="Arial"/>
        </w:rPr>
        <w:t xml:space="preserve"> Será obligatoria la realización de inspecciones adicionales, en los siguientes casos:</w:t>
      </w:r>
    </w:p>
    <w:p>
      <w:pPr>
        <w:pStyle w:val="style4"/>
        <w:numPr>
          <w:ilvl w:val="3"/>
          <w:numId w:val="1"/>
        </w:numPr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ab/>
      </w:r>
    </w:p>
    <w:p>
      <w:pPr>
        <w:pStyle w:val="style0"/>
        <w:numPr>
          <w:ilvl w:val="0"/>
          <w:numId w:val="10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  <w:t>Cuando una embarcación deportiva efectúe reparaciones en su casco, maquinaria y equipo o sufra modificaciones o alteraciones en los mismos.</w:t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</w:r>
    </w:p>
    <w:p>
      <w:pPr>
        <w:pStyle w:val="style0"/>
        <w:numPr>
          <w:ilvl w:val="0"/>
          <w:numId w:val="10"/>
        </w:numPr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lang w:val="es-MX"/>
        </w:rPr>
        <w:t>Después de haber sufrido serias averías  en su casco, maquinaria y demás elementos y componentes de la embarcación, que pueda afectar las condiciones de seguridad de navegación de la embarcación.</w:t>
      </w:r>
    </w:p>
    <w:p>
      <w:pPr>
        <w:pStyle w:val="style0"/>
        <w:jc w:val="both"/>
        <w:rPr>
          <w:rFonts w:ascii="Arial" w:cs="Arial" w:hAnsi="Arial"/>
          <w:b/>
          <w:lang w:val="es-MX"/>
        </w:rPr>
      </w:pPr>
      <w:r>
        <w:rPr>
          <w:rFonts w:ascii="Arial" w:cs="Arial" w:hAnsi="Arial"/>
          <w:b/>
          <w:lang w:val="es-MX"/>
        </w:rPr>
      </w:r>
    </w:p>
    <w:p>
      <w:pPr>
        <w:pStyle w:val="style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  <w:rPr>
          <w:rFonts w:ascii="Arial" w:cs="Arial" w:hAnsi="Arial"/>
          <w:lang w:val="es-MX"/>
        </w:rPr>
      </w:pPr>
      <w:r>
        <w:rPr>
          <w:rFonts w:ascii="Arial" w:cs="Arial" w:hAnsi="Arial"/>
          <w:b/>
          <w:bCs/>
        </w:rPr>
        <w:t>ARTÍCULO 8° INSPECCIONES EXTRAORDINARIAS.-</w:t>
      </w:r>
      <w:r>
        <w:rPr>
          <w:rFonts w:ascii="Arial" w:cs="Arial" w:hAnsi="Arial"/>
        </w:rPr>
        <w:t xml:space="preserve"> Las inspecciones extraordinarias se dispondrán cuando la autoridad marítima lo considere convenien</w:t>
        <w:softHyphen/>
        <w:t>te, cuando se cause o pueda causarse contaminación al medio marino o por re</w:t>
      </w:r>
      <w:r>
        <w:rPr>
          <w:rFonts w:ascii="Arial" w:cs="Arial" w:hAnsi="Arial"/>
          <w:lang w:val="es-MX"/>
        </w:rPr>
        <w:t>querimiento de un órgano judicial.</w:t>
      </w:r>
    </w:p>
    <w:p>
      <w:pPr>
        <w:pStyle w:val="style0"/>
        <w:jc w:val="both"/>
        <w:rPr>
          <w:rFonts w:ascii="Arial" w:cs="Arial" w:hAnsi="Arial"/>
          <w:b/>
          <w:lang w:val="es-MX"/>
        </w:rPr>
      </w:pPr>
      <w:r>
        <w:rPr>
          <w:rFonts w:ascii="Arial" w:cs="Arial" w:hAnsi="Arial"/>
          <w:b/>
          <w:lang w:val="es-MX"/>
        </w:rPr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ARTÍCULO 9°</w:t>
      </w:r>
      <w:r>
        <w:rPr>
          <w:rFonts w:ascii="Arial" w:cs="Arial" w:hAnsi="Arial"/>
          <w:bCs/>
        </w:rPr>
        <w:t xml:space="preserve">  </w:t>
      </w:r>
      <w:r>
        <w:rPr>
          <w:rFonts w:ascii="Arial" w:cs="Arial" w:hAnsi="Arial"/>
          <w:b/>
          <w:bCs/>
        </w:rPr>
        <w:t>PROCEDIMIENTOS PARA LAS INSPECCIONES</w:t>
      </w:r>
      <w:r>
        <w:rPr>
          <w:rFonts w:ascii="Arial" w:cs="Arial" w:hAnsi="Arial"/>
        </w:rPr>
        <w:t xml:space="preserve"> Los interesados solicitaran a las Capitanías de Puerto, las inspecciones por las cuales sufragarán los gastos, de acuerdo a las normas vigentes.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8"/>
        <w:numPr>
          <w:ilvl w:val="0"/>
          <w:numId w:val="4"/>
        </w:numPr>
        <w:rPr>
          <w:rFonts w:ascii="Arial" w:cs="Arial" w:hAnsi="Arial"/>
        </w:rPr>
      </w:pPr>
      <w:r>
        <w:rPr>
          <w:rFonts w:ascii="Arial" w:cs="Arial" w:hAnsi="Arial"/>
        </w:rPr>
        <w:t>El Propietario, el Patrón, el representante de la marina o club náutico velará por la asistencia que sea necesaria para que el inspector pueda llevar a cabo su tarea y consultas. Facilitará los instrumentos, manuales, documentos y demás elementos que sea solicitados por los inspectores.</w:t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8"/>
        <w:numPr>
          <w:ilvl w:val="0"/>
          <w:numId w:val="4"/>
        </w:numPr>
        <w:rPr>
          <w:rFonts w:ascii="Arial" w:cs="Arial" w:hAnsi="Arial"/>
        </w:rPr>
      </w:pPr>
      <w:r>
        <w:rPr>
          <w:rFonts w:ascii="Arial" w:cs="Arial" w:hAnsi="Arial"/>
        </w:rPr>
        <w:t>El inspector  debe  realizar las inspecciones de acuerdo con lo señalado en el manual de inspecciones de la presente resolución. (ANEXO  N° 1)</w:t>
      </w:r>
    </w:p>
    <w:p>
      <w:pPr>
        <w:pStyle w:val="style28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28"/>
        <w:numPr>
          <w:ilvl w:val="0"/>
          <w:numId w:val="4"/>
        </w:numPr>
        <w:rPr>
          <w:rFonts w:ascii="Arial" w:cs="Arial" w:hAnsi="Arial"/>
        </w:rPr>
      </w:pPr>
      <w:r>
        <w:rPr>
          <w:rFonts w:ascii="Arial" w:cs="Arial" w:hAnsi="Arial"/>
        </w:rPr>
        <w:t>El inspector  debe  llenar los listados de verificación de acuerdo con la clasificación de las embarcaciones. (ANEXO N° 2).</w:t>
      </w:r>
    </w:p>
    <w:p>
      <w:pPr>
        <w:pStyle w:val="style28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28"/>
        <w:numPr>
          <w:ilvl w:val="0"/>
          <w:numId w:val="4"/>
        </w:numPr>
        <w:rPr>
          <w:rFonts w:ascii="Arial" w:cs="Arial" w:hAnsi="Arial"/>
        </w:rPr>
      </w:pPr>
      <w:r>
        <w:rPr>
          <w:rFonts w:ascii="Arial" w:cs="Arial" w:hAnsi="Arial"/>
        </w:rPr>
        <w:t>Las inspecciones deberán realizarse abordo  de la embarcación deportiva y por el perito nombrado por la Capitanía de Puerto. El incumplimiento de esta disposición, dará lugar a la suspensión de la licencia como perito.</w:t>
      </w:r>
    </w:p>
    <w:p>
      <w:pPr>
        <w:pStyle w:val="style28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4"/>
        <w:numPr>
          <w:ilvl w:val="3"/>
          <w:numId w:val="1"/>
        </w:numPr>
        <w:rPr>
          <w:rFonts w:ascii="Arial" w:cs="Arial" w:hAnsi="Arial"/>
          <w:sz w:val="24"/>
        </w:rPr>
      </w:pPr>
      <w:r>
        <w:rPr>
          <w:rFonts w:ascii="Arial" w:cs="Arial" w:hAnsi="Arial"/>
          <w:bCs/>
          <w:sz w:val="24"/>
        </w:rPr>
        <w:t xml:space="preserve">ARTÍCULO 10°  CERTIFICADO DE SEGURIDAD.- </w:t>
      </w:r>
      <w:r>
        <w:rPr>
          <w:rFonts w:ascii="Arial" w:cs="Arial" w:hAnsi="Arial"/>
          <w:b w:val="false"/>
          <w:bCs/>
          <w:sz w:val="24"/>
        </w:rPr>
        <w:t>Toda embarcación deportiva debe mantener vigente el original a bordo del certificado de seguridad vigente,  en el cual se describen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 w:val="false"/>
          <w:bCs/>
          <w:sz w:val="24"/>
        </w:rPr>
        <w:t>la totalidad los elementos y equipos de navegación, seguridad y emergencia con los que  debe estar dotada de acuerdo al tipo y área de navegación donde opere, además de las condiciones de construcción y mantenimiento</w:t>
      </w:r>
      <w:r>
        <w:rPr>
          <w:rFonts w:ascii="Arial" w:cs="Arial" w:hAnsi="Arial"/>
          <w:sz w:val="24"/>
        </w:rPr>
        <w:t xml:space="preserve">. </w:t>
      </w:r>
    </w:p>
    <w:p>
      <w:pPr>
        <w:pStyle w:val="style34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34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ARTÍCULO 11</w:t>
      </w:r>
      <w:r>
        <w:rPr>
          <w:rFonts w:ascii="Arial" w:cs="Arial" w:hAnsi="Arial"/>
          <w:b/>
          <w:lang w:val="es-MX"/>
        </w:rPr>
        <w:t xml:space="preserve"> ° </w:t>
      </w:r>
      <w:r>
        <w:rPr>
          <w:rFonts w:ascii="Arial" w:cs="Arial" w:hAnsi="Arial"/>
          <w:b/>
          <w:bCs/>
        </w:rPr>
        <w:t>VIGENCIA DEL CERTIFICADO.</w:t>
      </w:r>
      <w:r>
        <w:rPr>
          <w:rFonts w:ascii="Arial" w:cs="Arial" w:hAnsi="Arial"/>
        </w:rPr>
        <w:t>- El certificado de seguridad tendrá una vigencia inicial de dos (2) años, siempre y cuando se mantengan las condiciones originales de la embarcación y perderá su validez por alguna de las siguientes circunstancias:</w:t>
      </w:r>
    </w:p>
    <w:p>
      <w:pPr>
        <w:pStyle w:val="style34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34"/>
        <w:numPr>
          <w:ilvl w:val="0"/>
          <w:numId w:val="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Cualquier alteración de la embarcación</w:t>
      </w:r>
    </w:p>
    <w:p>
      <w:pPr>
        <w:pStyle w:val="style34"/>
        <w:numPr>
          <w:ilvl w:val="0"/>
          <w:numId w:val="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Reclasificación de la embarcación.</w:t>
      </w:r>
    </w:p>
    <w:p>
      <w:pPr>
        <w:pStyle w:val="style34"/>
        <w:numPr>
          <w:ilvl w:val="0"/>
          <w:numId w:val="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Cambio de propietario</w:t>
      </w:r>
    </w:p>
    <w:p>
      <w:pPr>
        <w:pStyle w:val="style34"/>
        <w:numPr>
          <w:ilvl w:val="0"/>
          <w:numId w:val="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Cualquier irregularidad encontrada durante las inspecciones adelantadas por la Autoridad Marítima- Armada Nacional, en la dotación, mantenimiento y funcionamiento de los equipos de navegación, seguridad, emergencia y radio.</w:t>
      </w:r>
    </w:p>
    <w:p>
      <w:pPr>
        <w:pStyle w:val="style1"/>
        <w:numPr>
          <w:ilvl w:val="0"/>
          <w:numId w:val="1"/>
        </w:numPr>
        <w:ind w:hanging="0" w:left="0" w:right="0"/>
        <w:rPr>
          <w:bCs/>
          <w:lang w:val="es-MX"/>
        </w:rPr>
      </w:pPr>
      <w:r>
        <w:rPr>
          <w:bCs/>
          <w:lang w:val="es-MX"/>
        </w:rPr>
      </w:r>
    </w:p>
    <w:p>
      <w:pPr>
        <w:pStyle w:val="style1"/>
        <w:numPr>
          <w:ilvl w:val="0"/>
          <w:numId w:val="1"/>
        </w:numPr>
        <w:ind w:hanging="0" w:left="0" w:right="0"/>
        <w:rPr>
          <w:b w:val="false"/>
          <w:bCs/>
        </w:rPr>
      </w:pPr>
      <w:r>
        <w:rPr>
          <w:bCs/>
          <w:lang w:val="es-MX"/>
        </w:rPr>
        <w:t xml:space="preserve">ARTÍCULO 12° </w:t>
      </w:r>
      <w:r>
        <w:rPr>
          <w:bCs/>
        </w:rPr>
        <w:t>EXHIBICIÓN DEL CERTIFICADO.-</w:t>
      </w:r>
      <w:r>
        <w:rPr>
          <w:b w:val="false"/>
        </w:rPr>
        <w:t xml:space="preserve"> </w:t>
      </w:r>
      <w:r>
        <w:rPr>
          <w:b w:val="false"/>
          <w:bCs/>
          <w:lang w:val="es-MX"/>
        </w:rPr>
        <w:t>El original del certificado de  seguridad deberá llevarse a bordo y debe ser presentado a requerimiento de la Autoridad Marítima-Armada Nacional.</w:t>
      </w:r>
      <w:r>
        <w:rPr>
          <w:b w:val="false"/>
          <w:bCs/>
        </w:rPr>
        <w:t xml:space="preserve"> La carencia o el vencimiento de los certificados de seguridad, implica la prohibición de navegar y será considerado como una infracción.</w:t>
      </w:r>
    </w:p>
    <w:p>
      <w:pPr>
        <w:pStyle w:val="style27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>ARTÍCULO 13°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b/>
        </w:rPr>
        <w:t>RESPONSABILIDAD DEL PROPIETARIO Y/ O ARMADOR.-</w:t>
      </w:r>
      <w:r>
        <w:rPr>
          <w:rFonts w:ascii="Arial" w:cs="Arial" w:hAnsi="Arial"/>
        </w:rPr>
        <w:t xml:space="preserve"> Es responsabilidad del propietario de la embarcación, mantener los elementos y equipos descritos en el certificado de seguridad, en buen estado de funcionamiento, solicitar a la Autoridad Marítima  con antelación, la realización de las inspecciones de acuerdo al régimen a que pertenezca la embarcación, así como mantener la vigencia del certificado.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Igualmente debe responder por la dotación y mantenimiento operacional de los equipos de navegación, seguridad, emergencia, medicamentos y materiales de primeros auxilios de acuerdo al tipo de navegación y singladuras que vaya a realizar y la cantidad de pasajeros y/o tripulantes a bordo.</w:t>
      </w:r>
    </w:p>
    <w:p>
      <w:pPr>
        <w:pStyle w:val="style37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 14° EQUIPOS DE RADIOCOMUNICACIONES.</w:t>
      </w:r>
      <w:r>
        <w:rPr>
          <w:rFonts w:ascii="Arial" w:cs="Arial" w:hAnsi="Arial"/>
        </w:rPr>
        <w:t xml:space="preserve"> Los equipos exigidos por el Sistema Mundial de Seguridad y Socorro Marítimo (SMSSM-GMDSS), se regirán por las disposiciones que regulan este sistema y su implementación.</w:t>
      </w:r>
    </w:p>
    <w:p>
      <w:pPr>
        <w:pStyle w:val="style37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  <w:bCs/>
        </w:rPr>
        <w:t xml:space="preserve">ARTÍCULO 15° EXCEPCIONES.- </w:t>
      </w:r>
      <w:r>
        <w:rPr>
          <w:rFonts w:ascii="Arial" w:cs="Arial" w:hAnsi="Arial"/>
        </w:rPr>
        <w:t xml:space="preserve">Las disposiciones de la presente resolución no aplican para </w:t>
      </w:r>
      <w:r>
        <w:rPr>
          <w:rFonts w:ascii="Arial" w:cs="Arial" w:hAnsi="Arial"/>
          <w:szCs w:val="20"/>
        </w:rPr>
        <w:t>las siguientes categorías de embarcaciones:</w:t>
      </w:r>
    </w:p>
    <w:p>
      <w:pPr>
        <w:pStyle w:val="style37"/>
        <w:numPr>
          <w:ilvl w:val="0"/>
          <w:numId w:val="7"/>
        </w:numPr>
        <w:spacing w:after="0" w:before="280"/>
        <w:contextualSpacing w:val="false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  <w:t>Vela: veleros tipo clase tales como: láser, optimist, vagabundo, sabot, conrad, vaurien, sunfish, pirata, finn y snipe entre otros.</w:t>
      </w:r>
    </w:p>
    <w:p>
      <w:pPr>
        <w:pStyle w:val="style37"/>
        <w:numPr>
          <w:ilvl w:val="0"/>
          <w:numId w:val="7"/>
        </w:numPr>
        <w:spacing w:after="280" w:before="0"/>
        <w:contextualSpacing w:val="false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  <w:t>Remo: canoas, kayac (excepto los oceánicos), botes rígidos y semirígidos (embarcaciones empleadas en competencias de boga), entre otros.</w:t>
      </w:r>
    </w:p>
    <w:p>
      <w:pPr>
        <w:pStyle w:val="style37"/>
        <w:numPr>
          <w:ilvl w:val="0"/>
          <w:numId w:val="7"/>
        </w:numPr>
        <w:spacing w:after="280" w:before="0"/>
        <w:contextualSpacing w:val="false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  <w:t>Motor: embarcaciones con motores portátiles hasta un máximo de potencia de 10 H.P., incluso los jet ski y motos marinas.</w:t>
      </w:r>
    </w:p>
    <w:p>
      <w:pPr>
        <w:pStyle w:val="style37"/>
        <w:numPr>
          <w:ilvl w:val="0"/>
          <w:numId w:val="7"/>
        </w:numPr>
        <w:spacing w:after="280" w:before="0"/>
        <w:contextualSpacing w:val="false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  <w:t>Otros: Tablas de vela (windsurf), tablas (surf), bicicletas acuáticas, botes inflables, etc.</w:t>
      </w:r>
    </w:p>
    <w:p>
      <w:pPr>
        <w:pStyle w:val="style37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PARÁGRAFO.-</w:t>
      </w:r>
      <w:r>
        <w:rPr>
          <w:rFonts w:ascii="Arial" w:cs="Arial" w:hAnsi="Arial"/>
        </w:rPr>
        <w:t xml:space="preserve"> Queda entendido que también se exceptúan del régimen de inspecciones establecidos en esta resolución las embarcaciones deportivas destinadas al alquiler.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ARTÍCULO 16°</w:t>
      </w:r>
      <w:r>
        <w:rPr>
          <w:b/>
          <w:bCs/>
        </w:rPr>
        <w:t xml:space="preserve">  </w:t>
      </w:r>
      <w:r>
        <w:rPr>
          <w:rFonts w:ascii="Arial" w:cs="Arial" w:hAnsi="Arial"/>
          <w:b/>
          <w:bCs/>
        </w:rPr>
        <w:t>Plazo.-</w:t>
      </w:r>
      <w:r>
        <w:rPr>
          <w:rFonts w:ascii="Arial" w:cs="Arial" w:hAnsi="Arial"/>
        </w:rPr>
        <w:t xml:space="preserve"> Las embarcaciones deportivas que en la actualidad no cumplan con los requerimientos de la presente resolución  tendrán un plazo de un (1) año para su adecuación.</w:t>
      </w:r>
    </w:p>
    <w:p>
      <w:pPr>
        <w:pStyle w:val="style0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/>
          <w:bCs/>
        </w:rPr>
        <w:t>ARTÍCULO 17°</w:t>
      </w:r>
      <w:r>
        <w:rPr/>
        <w:t xml:space="preserve"> </w:t>
      </w:r>
      <w:r>
        <w:rPr>
          <w:rFonts w:ascii="Arial" w:cs="Arial" w:hAnsi="Arial"/>
          <w:b/>
          <w:lang w:val="es-MX"/>
        </w:rPr>
        <w:t xml:space="preserve">VIGENCIA.- </w:t>
      </w:r>
      <w:r>
        <w:rPr>
          <w:rFonts w:ascii="Arial" w:cs="Arial" w:hAnsi="Arial"/>
          <w:bCs/>
          <w:lang w:val="es-MX"/>
        </w:rPr>
        <w:t xml:space="preserve"> La presente resolución rige a partir de la fecha de su publicación en el Diario Oficial.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>Publíquese y cúmplase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 xml:space="preserve">Dada en Bogotá D.C, a los 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34"/>
        <w:widowControl/>
        <w:overflowPunct w:val="true"/>
        <w:autoSpaceDE w:val="true"/>
        <w:textAlignment w:val="auto"/>
        <w:rPr>
          <w:rFonts w:ascii="Arial" w:cs="Arial" w:hAnsi="Arial"/>
          <w:b/>
          <w:szCs w:val="24"/>
          <w:lang w:val="es-MX"/>
        </w:rPr>
      </w:pPr>
      <w:r>
        <w:rPr>
          <w:rFonts w:ascii="Arial" w:cs="Arial" w:hAnsi="Arial"/>
          <w:bCs/>
          <w:szCs w:val="24"/>
          <w:lang w:val="es-MX"/>
        </w:rPr>
        <w:t xml:space="preserve">Contralmirante </w:t>
      </w:r>
      <w:r>
        <w:rPr>
          <w:rFonts w:ascii="Arial" w:cs="Arial" w:hAnsi="Arial"/>
          <w:b/>
          <w:szCs w:val="24"/>
          <w:lang w:val="es-MX"/>
        </w:rPr>
        <w:t>CARLOS HUMBERTO PINEDA GALLO</w:t>
      </w:r>
    </w:p>
    <w:p>
      <w:pPr>
        <w:pStyle w:val="style5"/>
        <w:numPr>
          <w:ilvl w:val="4"/>
          <w:numId w:val="1"/>
        </w:numPr>
        <w:rPr/>
      </w:pPr>
      <w:r>
        <w:rPr/>
        <w:t>DIRECTOR MARÍTIMO</w:t>
      </w:r>
    </w:p>
    <w:sectPr>
      <w:headerReference r:id="rId6" w:type="default"/>
      <w:type w:val="nextPage"/>
      <w:pgSz w:h="15840" w:w="12240"/>
      <w:pgMar w:bottom="1418" w:footer="0" w:gutter="0" w:header="709" w:left="1701" w:right="1701" w:top="141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 Unicode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ind w:hanging="0" w:left="0" w:right="360"/>
      <w:rPr>
        <w:rFonts w:ascii="Arial" w:cs="Arial" w:hAnsi="Arial"/>
      </w:rPr>
    </w:pPr>
    <w:r>
      <w:rPr>
        <w:rFonts w:ascii="Arial" w:cs="Arial" w:hAnsi="Arial"/>
      </w:rPr>
      <w:t xml:space="preserve">RESOLUCIÓN No. _______________      DE   _______________  Hoja No. </w:t>
    </w: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7"/>
                  <w:rPr>
                    <w:rStyle w:val="style26"/>
                  </w:rPr>
                </w:pPr>
                <w:r>
                  <w:rPr>
                    <w:rStyle w:val="style26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8"/>
      <w:rPr>
        <w:rFonts w:ascii="Arial" w:cs="Arial" w:hAnsi="Arial"/>
        <w:sz w:val="17"/>
      </w:rPr>
    </w:pPr>
    <w:r>
      <w:rPr>
        <w:rFonts w:ascii="Arial" w:cs="Arial" w:hAnsi="Arial"/>
        <w:sz w:val="17"/>
      </w:rPr>
    </w:r>
  </w:p>
  <w:p>
    <w:r>
      <w:rPr>
        <w:rFonts w:ascii="Arial" w:cs="Arial" w:hAnsi="Arial"/>
        <w:sz w:val="18"/>
      </w:rPr>
      <w:t>CONTINUACIÓN DE LA RESOLUCIÓN POR LA CUAL</w:t>
    </w:r>
    <w:r>
      <w:rPr>
        <w:rFonts w:ascii="Arial" w:cs="Arial" w:hAnsi="Arial"/>
        <w:szCs w:val="24"/>
        <w:lang w:val="es-ES"/>
      </w:rPr>
      <w:t xml:space="preserve"> </w:t>
    </w:r>
    <w:r>
      <w:rPr>
        <w:rFonts w:ascii="Arial" w:cs="Arial" w:hAnsi="Arial"/>
        <w:sz w:val="18"/>
        <w:szCs w:val="24"/>
        <w:lang w:val="es-ES"/>
      </w:rPr>
      <w:t>SE ESTABLECE EL RÉGIMEN DE INSPECCIONES DE LAS EMBARCACIONES DEPORTIVAS DE  BANDERA COLOMBIANA</w:t>
    </w:r>
    <w:r>
      <w:rPr>
        <w:rFonts w:ascii="Arial" w:cs="Arial" w:hAnsi="Arial"/>
        <w:sz w:val="18"/>
      </w:rPr>
      <w:t>.</w:t>
    </w:r>
    <w:pStyle w:val="style28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>
        <w:rFonts w:ascii="Arial" w:cs="Arial" w:hAnsi="Arial"/>
        <w:sz w:val="18"/>
      </w:rPr>
    </w:pPr>
  </w:p>
  <w:p>
    <w:pPr>
      <w:pStyle w:val="style27"/>
      <w:rPr>
        <w:lang w:val="es-ES"/>
      </w:rPr>
    </w:pPr>
    <w:r>
      <w:rPr>
        <w:lang w:val="es-E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ind w:hanging="0" w:left="0" w:right="360"/>
      <w:rPr>
        <w:rFonts w:ascii="Arial" w:cs="Arial" w:hAnsi="Arial"/>
      </w:rPr>
    </w:pPr>
    <w:r>
      <w:rPr>
        <w:rFonts w:ascii="Arial" w:cs="Arial" w:hAnsi="Arial"/>
      </w:rPr>
      <w:t xml:space="preserve">RESOLUCIÓN No. _______________      DE   _______________  Hoja No. </w:t>
    </w:r>
    <w:r>
      <w:pict>
        <v:rect fillcolor="#FFFFFF" style="position:absolute;width:6.05pt;height:13.8pt;margin-top:0.05pt;margin-left:435.85pt">
          <v:textbox>
            <w:txbxContent>
              <w:p>
                <w:pPr>
                  <w:pStyle w:val="style27"/>
                  <w:rPr>
                    <w:rStyle w:val="style26"/>
                  </w:rPr>
                </w:pPr>
                <w:r>
                  <w:rPr>
                    <w:rStyle w:val="style26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style28"/>
      <w:rPr>
        <w:rFonts w:ascii="Arial" w:cs="Arial" w:hAnsi="Arial"/>
        <w:sz w:val="17"/>
      </w:rPr>
    </w:pPr>
    <w:r>
      <w:rPr>
        <w:rFonts w:ascii="Arial" w:cs="Arial" w:hAnsi="Arial"/>
        <w:sz w:val="17"/>
      </w:rPr>
    </w:r>
  </w:p>
  <w:p>
    <w:r>
      <w:rPr>
        <w:rFonts w:ascii="Arial" w:cs="Arial" w:hAnsi="Arial"/>
        <w:sz w:val="18"/>
      </w:rPr>
      <w:t>CONTINUACIÓN DE LA RESOLUCIÓN POR LA CUAL</w:t>
    </w:r>
    <w:r>
      <w:rPr>
        <w:rFonts w:ascii="Arial" w:cs="Arial" w:hAnsi="Arial"/>
        <w:szCs w:val="24"/>
        <w:lang w:val="es-ES"/>
      </w:rPr>
      <w:t xml:space="preserve"> </w:t>
    </w:r>
    <w:r>
      <w:rPr>
        <w:rFonts w:ascii="Arial" w:cs="Arial" w:hAnsi="Arial"/>
        <w:sz w:val="18"/>
        <w:szCs w:val="24"/>
        <w:lang w:val="es-ES"/>
      </w:rPr>
      <w:t>SE ESTABLECE EL RÉGIMEN DE INSPECCIONES DE LAS EMBARCACIONES DEPORTIVAS DE  BANDERA COLOMBIANA</w:t>
    </w:r>
    <w:r>
      <w:rPr>
        <w:rFonts w:ascii="Arial" w:cs="Arial" w:hAnsi="Arial"/>
        <w:sz w:val="18"/>
      </w:rPr>
      <w:t>.</w:t>
    </w:r>
    <w:pStyle w:val="style28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>
        <w:rFonts w:ascii="Arial" w:cs="Arial" w:hAnsi="Arial"/>
        <w:sz w:val="18"/>
      </w:rPr>
    </w:pPr>
  </w:p>
  <w:p>
    <w:pPr>
      <w:pStyle w:val="style27"/>
      <w:rPr>
        <w:lang w:val="es-ES"/>
      </w:rPr>
    </w:pPr>
    <w:r>
      <w:rPr>
        <w:lang w:val="es-ES"/>
      </w:rPr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  <w:rPr>
        <w:i w:val="false"/>
        <w:b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pos="964" w:val="num"/>
        </w:tabs>
        <w:ind w:hanging="397" w:left="964"/>
      </w:pPr>
      <w:rPr>
        <w:i w:val="false"/>
        <w:b w:val="false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pos="397" w:val="num"/>
        </w:tabs>
        <w:ind w:hanging="397" w:left="397"/>
      </w:pPr>
      <w:rPr>
        <w:i w:val="false"/>
        <w:b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  <w:rPr>
        <w:i w:val="false"/>
        <w:b w:val="false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720" w:val="num"/>
        </w:tabs>
        <w:ind w:hanging="360" w:left="720"/>
      </w:pPr>
    </w:lvl>
    <w:lvl w:ilvl="2">
      <w:start w:val="1"/>
      <w:numFmt w:val="lowerLetter"/>
      <w:lvlText w:val="%3)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pos="1440" w:val="num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pos="1800" w:val="num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  <w:rPr>
        <w:i w:val="false"/>
        <w:b w:val="false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720" w:val="num"/>
        </w:tabs>
        <w:ind w:hanging="360" w:left="720"/>
      </w:pPr>
    </w:lvl>
    <w:lvl w:ilvl="2">
      <w:start w:val="1"/>
      <w:numFmt w:val="lowerRoman"/>
      <w:lvlText w:val="%3)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pos="1440" w:val="num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pos="1800" w:val="num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720" w:val="num"/>
        </w:tabs>
        <w:ind w:hanging="360" w:left="720"/>
      </w:pPr>
    </w:lvl>
    <w:lvl w:ilvl="2">
      <w:start w:val="1"/>
      <w:numFmt w:val="lowerLetter"/>
      <w:lvlText w:val="%3)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(%4)"/>
      <w:lvlJc w:val="left"/>
      <w:pPr>
        <w:tabs>
          <w:tab w:pos="1440" w:val="num"/>
        </w:tabs>
        <w:ind w:hanging="360" w:left="1440"/>
      </w:pPr>
    </w:lvl>
    <w:lvl w:ilvl="4">
      <w:start w:val="1"/>
      <w:numFmt w:val="lowerLetter"/>
      <w:lvlText w:val="(%5)"/>
      <w:lvlJc w:val="left"/>
      <w:pPr>
        <w:tabs>
          <w:tab w:pos="1800" w:val="num"/>
        </w:tabs>
        <w:ind w:hanging="360" w:left="1800"/>
      </w:pPr>
    </w:lvl>
    <w:lvl w:ilvl="5">
      <w:start w:val="1"/>
      <w:numFmt w:val="lowerRoman"/>
      <w:lvlText w:val="(%6)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lowerLetter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lowerRoman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pos="964" w:val="num"/>
        </w:tabs>
        <w:ind w:hanging="397" w:left="964"/>
      </w:pPr>
      <w:rPr>
        <w:i w:val="false"/>
        <w:b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ind w:hanging="709" w:left="709" w:right="0"/>
      <w:jc w:val="both"/>
      <w:outlineLvl w:val="0"/>
    </w:pPr>
    <w:rPr>
      <w:rFonts w:ascii="Arial" w:cs="Arial" w:hAnsi="Arial"/>
      <w:b/>
    </w:rPr>
  </w:style>
  <w:style w:styleId="style2" w:type="paragraph">
    <w:name w:val="Encabezado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i/>
      <w:szCs w:val="20"/>
      <w:lang w:val="es-ES"/>
    </w:rPr>
  </w:style>
  <w:style w:styleId="style3" w:type="paragraph">
    <w:name w:val="Encabezado 3"/>
    <w:basedOn w:val="style0"/>
    <w:next w:val="style0"/>
    <w:pPr>
      <w:keepNext/>
      <w:numPr>
        <w:ilvl w:val="2"/>
        <w:numId w:val="1"/>
      </w:numPr>
      <w:jc w:val="center"/>
      <w:outlineLvl w:val="2"/>
    </w:pPr>
    <w:rPr>
      <w:b/>
      <w:sz w:val="20"/>
      <w:szCs w:val="20"/>
      <w:lang w:val="es-MX"/>
    </w:rPr>
  </w:style>
  <w:style w:styleId="style4" w:type="paragraph">
    <w:name w:val="Encabezado 4"/>
    <w:basedOn w:val="style0"/>
    <w:next w:val="style0"/>
    <w:pPr>
      <w:keepNext/>
      <w:numPr>
        <w:ilvl w:val="3"/>
        <w:numId w:val="1"/>
      </w:numPr>
      <w:jc w:val="both"/>
      <w:outlineLvl w:val="3"/>
    </w:pPr>
    <w:rPr>
      <w:b/>
      <w:sz w:val="20"/>
      <w:szCs w:val="20"/>
      <w:lang w:val="es-MX"/>
    </w:rPr>
  </w:style>
  <w:style w:styleId="style5" w:type="paragraph">
    <w:name w:val="Encabezado 5"/>
    <w:basedOn w:val="style0"/>
    <w:next w:val="style0"/>
    <w:pPr>
      <w:keepNext/>
      <w:numPr>
        <w:ilvl w:val="4"/>
        <w:numId w:val="1"/>
      </w:numPr>
      <w:jc w:val="center"/>
      <w:outlineLvl w:val="4"/>
    </w:pPr>
    <w:rPr>
      <w:rFonts w:ascii="Arial" w:cs="Arial" w:hAnsi="Arial"/>
      <w:b/>
      <w:lang w:val="es-MX"/>
    </w:rPr>
  </w:style>
  <w:style w:styleId="style15" w:type="character">
    <w:name w:val="WW8Num1z0"/>
    <w:next w:val="style15"/>
    <w:rPr>
      <w:b w:val="false"/>
      <w:i w:val="false"/>
    </w:rPr>
  </w:style>
  <w:style w:styleId="style16" w:type="character">
    <w:name w:val="WW8Num2z0"/>
    <w:next w:val="style16"/>
    <w:rPr>
      <w:b w:val="false"/>
      <w:i w:val="false"/>
    </w:rPr>
  </w:style>
  <w:style w:styleId="style17" w:type="character">
    <w:name w:val="WW8Num3z0"/>
    <w:next w:val="style17"/>
    <w:rPr>
      <w:b w:val="false"/>
      <w:i w:val="false"/>
    </w:rPr>
  </w:style>
  <w:style w:styleId="style18" w:type="character">
    <w:name w:val="WW8Num4z0"/>
    <w:next w:val="style18"/>
    <w:rPr>
      <w:b w:val="false"/>
      <w:i w:val="false"/>
    </w:rPr>
  </w:style>
  <w:style w:styleId="style19" w:type="character">
    <w:name w:val="WW8Num5z0"/>
    <w:next w:val="style19"/>
    <w:rPr>
      <w:b w:val="false"/>
      <w:i w:val="false"/>
    </w:rPr>
  </w:style>
  <w:style w:styleId="style20" w:type="character">
    <w:name w:val="WW8Num6z0"/>
    <w:next w:val="style20"/>
    <w:rPr>
      <w:b w:val="false"/>
      <w:i w:val="false"/>
    </w:rPr>
  </w:style>
  <w:style w:styleId="style21" w:type="character">
    <w:name w:val="WW8Num9z0"/>
    <w:next w:val="style21"/>
    <w:rPr>
      <w:b/>
      <w:i w:val="false"/>
    </w:rPr>
  </w:style>
  <w:style w:styleId="style22" w:type="character">
    <w:name w:val="WW8Num11z0"/>
    <w:next w:val="style22"/>
    <w:rPr>
      <w:b w:val="false"/>
      <w:i w:val="false"/>
    </w:rPr>
  </w:style>
  <w:style w:styleId="style23" w:type="character">
    <w:name w:val="WW8Num18z0"/>
    <w:next w:val="style23"/>
    <w:rPr>
      <w:b w:val="false"/>
      <w:i w:val="false"/>
    </w:rPr>
  </w:style>
  <w:style w:styleId="style24" w:type="character">
    <w:name w:val="WW8Num22z0"/>
    <w:next w:val="style24"/>
    <w:rPr>
      <w:b w:val="false"/>
      <w:i w:val="false"/>
    </w:rPr>
  </w:style>
  <w:style w:styleId="style25" w:type="character">
    <w:name w:val="Fuente de párrafo predeter."/>
    <w:next w:val="style25"/>
    <w:rPr/>
  </w:style>
  <w:style w:styleId="style26" w:type="character">
    <w:name w:val="Número de página"/>
    <w:basedOn w:val="style25"/>
    <w:next w:val="style26"/>
    <w:rPr/>
  </w:style>
  <w:style w:styleId="style27" w:type="paragraph">
    <w:name w:val="Encabezado"/>
    <w:basedOn w:val="style0"/>
    <w:next w:val="style27"/>
    <w:pPr>
      <w:tabs>
        <w:tab w:leader="none" w:pos="4419" w:val="center"/>
        <w:tab w:leader="none" w:pos="8838" w:val="right"/>
      </w:tabs>
    </w:pPr>
    <w:rPr/>
  </w:style>
  <w:style w:styleId="style28" w:type="paragraph">
    <w:name w:val="Cuerpo de texto"/>
    <w:basedOn w:val="style0"/>
    <w:next w:val="style28"/>
    <w:pPr>
      <w:widowControl w:val="false"/>
      <w:overflowPunct w:val="false"/>
      <w:autoSpaceDE w:val="false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29" w:type="paragraph">
    <w:name w:val="Lista"/>
    <w:basedOn w:val="style28"/>
    <w:next w:val="style29"/>
    <w:pPr/>
    <w:rPr>
      <w:rFonts w:cs="Lohit Hindi"/>
    </w:rPr>
  </w:style>
  <w:style w:styleId="style30" w:type="paragraph">
    <w:name w:val="Pie de foto"/>
    <w:basedOn w:val="style0"/>
    <w:next w:val="style3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1" w:type="paragraph">
    <w:name w:val="Índice"/>
    <w:basedOn w:val="style0"/>
    <w:next w:val="style31"/>
    <w:pPr>
      <w:suppressLineNumbers/>
    </w:pPr>
    <w:rPr>
      <w:rFonts w:cs="Lohit Hindi"/>
    </w:rPr>
  </w:style>
  <w:style w:styleId="style32" w:type="paragraph">
    <w:name w:val="Encabezado"/>
    <w:basedOn w:val="style0"/>
    <w:next w:val="style2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33" w:type="paragraph">
    <w:name w:val="Body Text 21"/>
    <w:basedOn w:val="style0"/>
    <w:next w:val="style33"/>
    <w:pPr>
      <w:widowControl w:val="false"/>
      <w:overflowPunct w:val="false"/>
      <w:autoSpaceDE w:val="false"/>
      <w:ind w:hanging="426" w:left="0" w:right="0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4" w:type="paragraph">
    <w:name w:val="Body Text 2"/>
    <w:basedOn w:val="style0"/>
    <w:next w:val="style34"/>
    <w:pPr>
      <w:widowControl w:val="false"/>
      <w:overflowPunct w:val="false"/>
      <w:autoSpaceDE w:val="false"/>
      <w:jc w:val="center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5" w:type="paragraph">
    <w:name w:val="Cuerpo de texto con sangría"/>
    <w:basedOn w:val="style0"/>
    <w:next w:val="style35"/>
    <w:pPr>
      <w:ind w:hanging="0" w:left="360" w:right="0"/>
      <w:jc w:val="both"/>
    </w:pPr>
    <w:rPr>
      <w:rFonts w:ascii="Arial" w:cs="Arial" w:hAnsi="Arial"/>
      <w:lang w:val="es-MX"/>
    </w:rPr>
  </w:style>
  <w:style w:styleId="style36" w:type="paragraph">
    <w:name w:val="Pie de página"/>
    <w:basedOn w:val="style0"/>
    <w:next w:val="style36"/>
    <w:pPr>
      <w:tabs>
        <w:tab w:leader="none" w:pos="4419" w:val="center"/>
        <w:tab w:leader="none" w:pos="8838" w:val="right"/>
      </w:tabs>
    </w:pPr>
    <w:rPr/>
  </w:style>
  <w:style w:styleId="style37" w:type="paragraph">
    <w:name w:val="Normal (Web)"/>
    <w:basedOn w:val="style0"/>
    <w:next w:val="style37"/>
    <w:pPr>
      <w:spacing w:after="280" w:before="280"/>
      <w:contextualSpacing w:val="false"/>
    </w:pPr>
    <w:rPr>
      <w:rFonts w:ascii="Arial Unicode MS" w:cs="Arial Unicode MS" w:eastAsia="Arial Unicode MS" w:hAnsi="Arial Unicode MS"/>
      <w:color w:val="000000"/>
    </w:rPr>
  </w:style>
  <w:style w:styleId="style38" w:type="paragraph">
    <w:name w:val="Sangría 2 de t. independiente"/>
    <w:basedOn w:val="style0"/>
    <w:next w:val="style38"/>
    <w:pPr>
      <w:ind w:hanging="0" w:left="360" w:right="0"/>
    </w:pPr>
    <w:rPr>
      <w:rFonts w:ascii="Arial" w:cs="Arial" w:hAnsi="Arial"/>
      <w:lang w:val="es-MX"/>
    </w:rPr>
  </w:style>
  <w:style w:styleId="style39" w:type="paragraph">
    <w:name w:val="Contenido del marco"/>
    <w:basedOn w:val="style28"/>
    <w:next w:val="style3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2013-02-10T16:12:00Z</dcterms:created>
  <dc:creator>Clarita</dc:creator>
  <cp:lastModifiedBy>Clarita</cp:lastModifiedBy>
  <cp:lastPrinted>2001-11-13T16:44:00Z</cp:lastPrinted>
  <dcterms:modified xsi:type="dcterms:W3CDTF">2013-02-10T16:12:00Z</dcterms:modified>
  <cp:revision>2</cp:revision>
  <dc:title>REPÚBLICA DE COLOMBIA</dc:title>
</cp:coreProperties>
</file>