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media/image2.wmf" ContentType="image/x-wmf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  <w:t>REPÚBLICA DE COLOMBIA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MINISTERIO DE DEFENSA NACIONAL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ARMADA NACIONAL</w:t>
      </w:r>
    </w:p>
    <w:p>
      <w:pPr>
        <w:pStyle w:val="style1"/>
        <w:numPr>
          <w:ilvl w:val="0"/>
          <w:numId w:val="1"/>
        </w:numPr>
        <w:rPr/>
      </w:pPr>
      <w:r>
        <w:rPr/>
        <w:t>DIRECCIÓN GENERAL MARÍTIMA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drawing>
          <wp:inline distB="0" distL="0" distR="0" distT="0">
            <wp:extent cx="543560" cy="755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RESOLUCIÓN NÚMERO</w:t>
      </w:r>
      <w:r>
        <w:rPr>
          <w:rFonts w:ascii="Arial" w:cs="Arial" w:hAnsi="Arial"/>
        </w:rPr>
        <w:tab/>
      </w:r>
      <w:r>
        <w:rPr>
          <w:rFonts w:ascii="Arial" w:cs="Arial" w:hAnsi="Arial"/>
          <w:b/>
          <w:bCs/>
        </w:rPr>
        <w:t>22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(5 DE FEBRERO DE 2002 )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eastAsia="Arial" w:hAnsi="Arial"/>
        </w:rPr>
        <w:t>“</w:t>
      </w:r>
      <w:r>
        <w:rPr>
          <w:rFonts w:ascii="Arial" w:cs="Arial" w:hAnsi="Arial"/>
        </w:rPr>
        <w:t>Por la cual se establece la obligación de presentar en original los documentos pertinentes y los certificados estatutarios en las inspecciones, para efectuar cualquier trámite ante la Autoridad Marítima  o cuando sean solicitados por esta”.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EL DIRECTOR GENERAL MARÍTIMO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4"/>
        <w:rPr>
          <w:rFonts w:ascii="Arial" w:cs="Arial" w:hAnsi="Arial"/>
        </w:rPr>
      </w:pPr>
      <w:r>
        <w:rPr>
          <w:rFonts w:ascii="Arial" w:cs="Arial" w:hAnsi="Arial"/>
        </w:rPr>
        <w:t xml:space="preserve">En ejercicio de sus facultades legales otorgadas en el numeral 9 del artículo 5, en el artículo 10, en los numerales 1, 3 y 7 del artículo 11 del decreto ley 2324 de  1984, y </w:t>
      </w:r>
    </w:p>
    <w:p>
      <w:pPr>
        <w:pStyle w:val="style2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CONSIDERANDO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 </w:t>
      </w:r>
    </w:p>
    <w:p>
      <w:pPr>
        <w:pStyle w:val="style24"/>
        <w:widowControl/>
        <w:overflowPunct w:val="true"/>
        <w:autoSpaceDE w:val="true"/>
        <w:textAlignment w:val="auto"/>
        <w:rPr>
          <w:rFonts w:ascii="Arial" w:cs="Arial" w:eastAsia="Arial Unicode MS" w:hAnsi="Arial"/>
          <w:szCs w:val="24"/>
          <w:lang w:val="es-ES"/>
        </w:rPr>
      </w:pPr>
      <w:r>
        <w:rPr>
          <w:rFonts w:ascii="Arial" w:cs="Arial" w:eastAsia="Arial Unicode MS" w:hAnsi="Arial"/>
          <w:szCs w:val="24"/>
          <w:lang w:val="es-ES"/>
        </w:rPr>
        <w:t>Que el artículo 2 de la Constitución Política establece que son fines esenciales del Estado: servir a la comunidad, promover la prosperidad general y garantizar la efectividad de los principios, derechos y deberes consagrados en la Constitución.</w:t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Que el artículo 3 de la Ley 489 de 1998 concordante con el artículo 209 de la Constitución Política dispone que la función administrativa está al servicio de los intereses generales y se desarrolla con fundamento en los principios de igualdad, moralidad, eficacia, economía, celeridad, imparcialidad y publicidad, responsabilidad y transparencia.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1"/>
        <w:ind w:hanging="0" w:left="0" w:right="0"/>
        <w:rPr>
          <w:rFonts w:ascii="Arial" w:cs="Arial" w:hAnsi="Arial"/>
        </w:rPr>
      </w:pPr>
      <w:r>
        <w:rPr>
          <w:rFonts w:ascii="Arial" w:cs="Arial" w:hAnsi="Arial"/>
        </w:rPr>
        <w:t>Que el numeral 9 del artículo 5 del Decreto Ley 2324 de 1984 consagra que es función y atribución de la Autoridad Marítima la de regular, efectuar y controlar la inscripción, registro, inspección, clasificación, matrícula y patente de las  naves y artefactos navales.</w:t>
      </w:r>
    </w:p>
    <w:p>
      <w:pPr>
        <w:pStyle w:val="style0"/>
        <w:jc w:val="both"/>
        <w:rPr>
          <w:rFonts w:ascii="Arial" w:cs="Arial" w:eastAsia="Arial Unicode MS" w:hAnsi="Arial"/>
          <w:lang w:val="es-ES"/>
        </w:rPr>
      </w:pPr>
      <w:r>
        <w:rPr>
          <w:rFonts w:ascii="Arial" w:cs="Arial" w:eastAsia="Arial Unicode MS" w:hAnsi="Arial"/>
          <w:lang w:val="es-ES"/>
        </w:rPr>
      </w:r>
    </w:p>
    <w:p>
      <w:pPr>
        <w:sectPr>
          <w:headerReference r:id="rId3" w:type="default"/>
          <w:footerReference r:id="rId4" w:type="default"/>
          <w:type w:val="nextPage"/>
          <w:pgSz w:h="15840" w:w="12240"/>
          <w:pgMar w:bottom="1693" w:footer="1417" w:gutter="0" w:header="708" w:left="1701" w:right="1701" w:top="1417"/>
          <w:pgNumType w:fmt="decimal" w:start="1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</w:r>
    </w:p>
    <w:p>
      <w:pPr>
        <w:sectPr>
          <w:headerReference r:id="rId5" w:type="default"/>
          <w:type w:val="nextPage"/>
          <w:pgSz w:h="15840" w:w="12240"/>
          <w:pgMar w:bottom="1417" w:footer="0" w:gutter="0" w:header="708" w:left="1701" w:right="1701" w:top="1417"/>
          <w:pgNumType w:fmt="decimal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  <w:t>Que en desarrollo de las funciones de vigilancia y control esta Autoridad Marítima considera necesario establecer la presentación del original de los documentos pertinentes y de los certificados estatutarios.</w:t>
      </w:r>
    </w:p>
    <w:p>
      <w:p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</w:r>
    </w:p>
    <w:p>
      <w:p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  <w:t>Que esta Autoridad ha evidenciado la proliferación y aumento de casos en los cuales se presentan licencias falsas, fotocopias adulteradas, suplantación de personas en fotografías, presentación de libretas de embarco falsificadas y muchos otros casos.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en mérito de lo anterior,  el Director General Marítimo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1"/>
        <w:numPr>
          <w:ilvl w:val="0"/>
          <w:numId w:val="1"/>
        </w:numPr>
        <w:rPr/>
      </w:pPr>
      <w:r>
        <w:rPr/>
        <w:t>R E S U E L V E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ARTÍCULO </w:t>
        <w:tab/>
        <w:t>1</w:t>
      </w:r>
      <w:r>
        <w:rPr>
          <w:rFonts w:ascii="Arial" w:cs="Arial" w:hAnsi="Arial"/>
          <w:bCs/>
        </w:rPr>
        <w:t>°.-</w:t>
      </w:r>
      <w:r>
        <w:rPr>
          <w:rFonts w:ascii="Arial" w:cs="Arial" w:hAnsi="Arial"/>
        </w:rPr>
        <w:tab/>
      </w:r>
      <w:r>
        <w:rPr>
          <w:rFonts w:ascii="Arial" w:cs="Arial" w:hAnsi="Arial"/>
          <w:b/>
          <w:bCs/>
        </w:rPr>
        <w:t>DEFINICIONES</w:t>
      </w:r>
      <w:r>
        <w:rPr>
          <w:rFonts w:ascii="Arial" w:cs="Arial" w:hAnsi="Arial"/>
        </w:rPr>
        <w:t>: Para los efectos de la presente resolución se adoptan las siguientes definiciones:</w:t>
      </w:r>
    </w:p>
    <w:p>
      <w:pPr>
        <w:pStyle w:val="style0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24"/>
        <w:widowControl/>
        <w:numPr>
          <w:ilvl w:val="0"/>
          <w:numId w:val="6"/>
        </w:numPr>
        <w:tabs>
          <w:tab w:leader="none" w:pos="0" w:val="left"/>
        </w:tabs>
        <w:overflowPunct w:val="true"/>
        <w:autoSpaceDE w:val="true"/>
        <w:textAlignment w:val="auto"/>
        <w:rPr>
          <w:rFonts w:ascii="Arial" w:cs="Arial" w:hAnsi="Arial"/>
        </w:rPr>
      </w:pPr>
      <w:r>
        <w:rPr>
          <w:rFonts w:ascii="Arial" w:cs="Arial" w:hAnsi="Arial"/>
          <w:b/>
          <w:bCs/>
          <w:szCs w:val="24"/>
          <w:lang w:val="es-ES"/>
        </w:rPr>
        <w:t>DOCUMENTOS PERTINENTES</w:t>
      </w:r>
      <w:r>
        <w:rPr>
          <w:rFonts w:ascii="Arial" w:cs="Arial" w:hAnsi="Arial"/>
          <w:szCs w:val="24"/>
          <w:lang w:val="es-ES"/>
        </w:rPr>
        <w:t xml:space="preserve">: Son el conjunto de documentos expedidos por la Autoridad Marítima Nacional o Local y exigidos por la misma para los trámites correspondientes, así como los avalados o admitidos por la mismas, habiendo sido emitidos por una Autoridad </w:t>
      </w:r>
      <w:r>
        <w:rPr>
          <w:rFonts w:ascii="Arial" w:cs="Arial" w:hAnsi="Arial"/>
        </w:rPr>
        <w:t>Marítima extranjera o por alguna Organización Reconocida, los cuales varían en función del objeto de la verificación</w:t>
      </w:r>
      <w:r>
        <w:rPr>
          <w:rFonts w:ascii="Arial" w:cs="Arial" w:hAnsi="Arial"/>
          <w:i/>
          <w:iCs/>
        </w:rPr>
        <w:t xml:space="preserve"> </w:t>
      </w:r>
      <w:r>
        <w:rPr>
          <w:rFonts w:ascii="Arial" w:cs="Arial" w:hAnsi="Arial"/>
        </w:rPr>
        <w:t>en las inspecciones que se practiquen a las naves, o en los trámites por parte de las personas dedicadas a las actividades marítimas.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0" w:left="70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Los documentos pertinentes respecto a las naves y artefactos navales, de matrícula nacional son.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Licencias de navegación de la totalidad de la tripulación.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Patente de navegación o permiso especial de navegación (según la clase de nave).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firstLine="3" w:left="567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Patente del Instituto Nacional de Pesca y Acuicultura-INPA, tratándose de naves pesqueras.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567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Resolución de autorización o registro de ruta (según el tráfico que realice la nave).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567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Documento de zarpe y demás documentos exigidos por la normas de la marina mercante vigentes, de acuerdo con la clase de nave.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de matrícula o en su defecto pasavante.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de registro de motor.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firstLine="570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de autorización de capacidad máxima de transporte de combustible.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567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Certificados estatutarios de seguridad, navegabilidad, dotación mínima y prevención de la contaminación.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Autorización especial para tránsito expedida por la Capitanía de Puerto de conformidad con lo previsto en los literales f y g del artículo 2o. de la resolución 520 de 1999.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1"/>
          <w:numId w:val="2"/>
        </w:numPr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Las demás documentos que señalen la ley y los reglamentos.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0" w:left="108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Respecto a las naves y artefactos de matrícula extranjera son: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Licencias de navegación de la totalidad de la tripulación.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Patente de navegación o permiso especial de navegación (según la clase de nave).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Patente del Instituto Nacional de Pesca y Acuicultura-INPA, tratándose de naves pesqueras.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Resolución de autorización o registro de ruta (según el tráfico que realice la nave).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Documento de zarpe y demás documentos exigidos por la norma de la marina mercante vigentes, de acuerdo con la clase de nave.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de matrícula.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de registro de motor.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Certificado estatutarios de seguridad, navegabilidad, dotación mínima y prevención de la contaminación.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ind w:hanging="567" w:left="0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Autorización especial para tránsito expedida por la Capitanía de Puerto de conformidad con lo previsto en los literales f y g del artículo 2o. de la de la resolución 520 de 1999.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4"/>
        </w:numPr>
        <w:tabs>
          <w:tab w:leader="none" w:pos="567" w:val="left"/>
          <w:tab w:leader="none" w:pos="1134" w:val="left"/>
          <w:tab w:leader="none" w:pos="1428" w:val="left"/>
          <w:tab w:leader="none" w:pos="1701" w:val="left"/>
        </w:tabs>
        <w:ind w:hanging="360" w:left="1428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Las demás documentos que señalen la ley y los reglamentos.</w:t>
      </w:r>
    </w:p>
    <w:p>
      <w:pPr>
        <w:pStyle w:val="style0"/>
        <w:ind w:hanging="567" w:left="1107" w:right="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"/>
        <w:numPr>
          <w:ilvl w:val="1"/>
          <w:numId w:val="1"/>
        </w:numPr>
        <w:ind w:hanging="567" w:left="1107" w:right="0"/>
        <w:rPr>
          <w:rFonts w:cs="Arial"/>
          <w:b w:val="false"/>
          <w:bCs w:val="false"/>
        </w:rPr>
      </w:pPr>
      <w:r>
        <w:rPr>
          <w:rFonts w:cs="Arial"/>
          <w:b w:val="false"/>
          <w:bCs w:val="false"/>
        </w:rPr>
        <w:t>Respecto de la gente de mar son:</w:t>
      </w:r>
    </w:p>
    <w:p>
      <w:pPr>
        <w:pStyle w:val="style23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Licencias de navegación.</w:t>
      </w:r>
    </w:p>
    <w:p>
      <w:pPr>
        <w:pStyle w:val="style23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Libreta de registro de embarcos.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Títulos.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Dispensas.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Los diplomas de acreditación de cursos o certificados de competencia.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Las demás documentos que señalen la ley y los reglamentos.</w:t>
      </w:r>
    </w:p>
    <w:p>
      <w:pPr>
        <w:pStyle w:val="style23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0" w:left="720" w:right="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</w:rPr>
        <w:t>Respecto de las personas dedicadas a las actividades marítimas de practicaje, remolque, agenciamiento marítimo, peritos , etc</w:t>
      </w:r>
      <w:r>
        <w:rPr>
          <w:rFonts w:ascii="Arial" w:cs="Arial" w:hAnsi="Arial"/>
          <w:b/>
          <w:bCs/>
        </w:rPr>
        <w:t>:</w:t>
      </w:r>
    </w:p>
    <w:p>
      <w:pPr>
        <w:pStyle w:val="style0"/>
        <w:ind w:hanging="567" w:left="1275" w:right="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Las licencias.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Los diplomas de acreditación de cursos o certificados de competencia.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Las demás documentos que señalen la ley y los reglamentos.</w:t>
      </w:r>
    </w:p>
    <w:p>
      <w:pPr>
        <w:pStyle w:val="style0"/>
        <w:ind w:hanging="567" w:left="1275" w:right="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numPr>
          <w:ilvl w:val="1"/>
          <w:numId w:val="4"/>
        </w:numPr>
        <w:ind w:hanging="540" w:left="1080" w:right="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CERTIFICADOS ESTATUTARIOS:</w:t>
      </w:r>
      <w:r>
        <w:rPr>
          <w:rFonts w:ascii="Arial" w:cs="Arial" w:hAnsi="Arial"/>
        </w:rPr>
        <w:t xml:space="preserve"> Son los documentos que expide la Autoridad Marítima a naves y artefactos navales de matrícula colombiana, con el fin de certificar el adecuado estado de las mismas en lo referente a seguridad, navegabilidad, dotación mínima y prevención de la contaminación, y otras, de conformidad con las normas técnicas vigentes.</w:t>
      </w:r>
    </w:p>
    <w:p>
      <w:pPr>
        <w:pStyle w:val="style0"/>
        <w:tabs>
          <w:tab w:leader="none" w:pos="567" w:val="left"/>
          <w:tab w:leader="none" w:pos="1134" w:val="left"/>
          <w:tab w:leader="none" w:pos="1701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ARTÍCULO </w:t>
        <w:tab/>
        <w:t>2°.-</w:t>
      </w:r>
      <w:r>
        <w:rPr>
          <w:rFonts w:ascii="Arial" w:cs="Arial" w:hAnsi="Arial"/>
          <w:szCs w:val="20"/>
        </w:rPr>
        <w:t xml:space="preserve"> </w:t>
      </w:r>
      <w:r>
        <w:rPr>
          <w:rFonts w:ascii="Arial" w:cs="Arial" w:hAnsi="Arial"/>
          <w:b/>
          <w:bCs/>
          <w:szCs w:val="20"/>
        </w:rPr>
        <w:t xml:space="preserve">PRESENTACIÓN OBLIGATORIA.- </w:t>
      </w:r>
      <w:r>
        <w:rPr>
          <w:rFonts w:ascii="Arial" w:cs="Arial" w:hAnsi="Arial"/>
          <w:szCs w:val="20"/>
        </w:rPr>
        <w:t>Establecer la presentación obligatoria del o</w:t>
      </w:r>
      <w:r>
        <w:rPr>
          <w:rFonts w:ascii="Arial" w:cs="Arial" w:hAnsi="Arial"/>
        </w:rPr>
        <w:t>riginal de los documentos pertinentes y los certificados estatutarios en las inspecciones, para efectuar cualquier trámite ante la Autoridad Marítima  o cuando sean solicitados por esta.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PARÁGRAFO</w:t>
      </w:r>
      <w:r>
        <w:rPr>
          <w:rFonts w:ascii="Arial" w:cs="Arial" w:hAnsi="Arial"/>
          <w:b/>
          <w:bCs/>
          <w:u w:val="single"/>
        </w:rPr>
        <w:t>.</w:t>
      </w:r>
      <w:r>
        <w:rPr>
          <w:rFonts w:ascii="Arial" w:cs="Arial" w:hAnsi="Arial"/>
        </w:rPr>
        <w:t xml:space="preserve"> El objeto de la presentación del original es la confrontación y verificación de la autenticidad del documento. </w:t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  <w:bCs/>
          <w:szCs w:val="20"/>
        </w:rPr>
        <w:t xml:space="preserve">ARTÍCULO 3°.- PÉRDIDA DEL DOCUMENTO PERTINENTE Y/O CERTIFICADO ESTATUTARIO.- </w:t>
      </w:r>
      <w:r>
        <w:rPr>
          <w:rFonts w:ascii="Arial" w:cs="Arial" w:hAnsi="Arial"/>
          <w:szCs w:val="20"/>
        </w:rPr>
        <w:t xml:space="preserve"> En caso de pérdida del documento original, el interesado deberá presentar la denuncia de pérdida, y anexar la correspondiente certificación de trámite del documento perdido en caso que no sea de los emitidos por la misma autoridad.</w:t>
      </w:r>
    </w:p>
    <w:p>
      <w:pPr>
        <w:pStyle w:val="style0"/>
        <w:jc w:val="both"/>
        <w:rPr>
          <w:rFonts w:ascii="Arial" w:cs="Arial" w:hAnsi="Arial"/>
          <w:b/>
          <w:bCs/>
          <w:szCs w:val="20"/>
        </w:rPr>
      </w:pPr>
      <w:r>
        <w:rPr>
          <w:rFonts w:ascii="Arial" w:cs="Arial" w:hAnsi="Arial"/>
          <w:b/>
          <w:bCs/>
          <w:szCs w:val="20"/>
        </w:rPr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  <w:bCs/>
          <w:szCs w:val="20"/>
        </w:rPr>
        <w:t xml:space="preserve">ARTÍCULO 4°.- SANCIONES.- </w:t>
      </w:r>
      <w:r>
        <w:rPr>
          <w:rFonts w:ascii="Arial" w:cs="Arial" w:hAnsi="Arial"/>
          <w:szCs w:val="20"/>
        </w:rPr>
        <w:t>Las sanciones a que hubiere lugar por la violación o infracción de lo establecido en la presente resolución se aplicarán de acuerdo a lo consagrado en los artículos 80 y 81 del decreto ley  2324 de 1984 o normas que lo modifiquen o adicionen.</w:t>
      </w:r>
    </w:p>
    <w:p>
      <w:pPr>
        <w:pStyle w:val="style0"/>
        <w:jc w:val="both"/>
        <w:rPr>
          <w:rFonts w:ascii="Arial" w:cs="Arial" w:hAnsi="Arial"/>
          <w:b/>
          <w:bCs/>
          <w:szCs w:val="20"/>
        </w:rPr>
      </w:pPr>
      <w:r>
        <w:rPr>
          <w:rFonts w:ascii="Arial" w:cs="Arial" w:hAnsi="Arial"/>
          <w:b/>
          <w:bCs/>
          <w:szCs w:val="20"/>
        </w:rPr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  <w:lang w:val="es-MX"/>
        </w:rPr>
        <w:t xml:space="preserve">ARTÍCULO 5°.- VIGENCIA.- </w:t>
      </w:r>
      <w:r>
        <w:rPr>
          <w:rFonts w:ascii="Arial" w:cs="Arial" w:hAnsi="Arial"/>
          <w:bCs/>
          <w:lang w:val="es-MX"/>
        </w:rPr>
        <w:t xml:space="preserve"> La presente resolución rige a partir de la fecha de su publicación en el Diario Oficial</w:t>
      </w:r>
      <w:r>
        <w:rPr>
          <w:rFonts w:ascii="Arial" w:cs="Arial" w:hAnsi="Arial"/>
          <w:szCs w:val="20"/>
        </w:rPr>
        <w:t>.</w:t>
      </w:r>
    </w:p>
    <w:p>
      <w:pPr>
        <w:pStyle w:val="style0"/>
        <w:jc w:val="both"/>
        <w:rPr>
          <w:rFonts w:ascii="Arial" w:cs="Arial" w:hAnsi="Arial"/>
          <w:b/>
          <w:bCs/>
          <w:szCs w:val="20"/>
        </w:rPr>
      </w:pPr>
      <w:r>
        <w:rPr>
          <w:rFonts w:ascii="Arial" w:cs="Arial" w:hAnsi="Arial"/>
          <w:b/>
          <w:bCs/>
          <w:szCs w:val="20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>Publíquese y cúmplase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 xml:space="preserve">Dada en Bogotá D.C, a los 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32"/>
        <w:widowControl/>
        <w:overflowPunct w:val="true"/>
        <w:autoSpaceDE w:val="true"/>
        <w:textAlignment w:val="auto"/>
        <w:rPr>
          <w:rFonts w:ascii="Arial" w:cs="Arial" w:hAnsi="Arial"/>
          <w:b/>
          <w:szCs w:val="24"/>
          <w:lang w:val="es-MX"/>
        </w:rPr>
      </w:pPr>
      <w:r>
        <w:rPr>
          <w:rFonts w:ascii="Arial" w:cs="Arial" w:hAnsi="Arial"/>
          <w:bCs/>
          <w:szCs w:val="24"/>
          <w:lang w:val="es-MX"/>
        </w:rPr>
        <w:t xml:space="preserve">Contralmirante </w:t>
      </w:r>
      <w:r>
        <w:rPr>
          <w:rFonts w:ascii="Arial" w:cs="Arial" w:hAnsi="Arial"/>
          <w:b/>
          <w:szCs w:val="24"/>
          <w:lang w:val="es-MX"/>
        </w:rPr>
        <w:t>CARLOS HUMBERTO PINEDA GALLO</w:t>
      </w:r>
    </w:p>
    <w:p>
      <w:pPr>
        <w:pStyle w:val="style5"/>
        <w:numPr>
          <w:ilvl w:val="4"/>
          <w:numId w:val="1"/>
        </w:numPr>
        <w:rPr/>
      </w:pPr>
      <w:r>
        <w:rPr/>
        <w:t>DIRECTOR MARÍTIMO</w:t>
      </w:r>
    </w:p>
    <w:p>
      <w:pPr>
        <w:pStyle w:val="style0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0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sectPr>
      <w:headerReference r:id="rId6" w:type="default"/>
      <w:type w:val="nextPage"/>
      <w:pgSz w:h="15840" w:w="12240"/>
      <w:pgMar w:bottom="1417" w:footer="0" w:gutter="0" w:header="708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360"/>
      <w:rPr/>
    </w:pPr>
    <w:r>
      <w:rPr/>
    </w:r>
    <w:r>
      <w:pict>
        <v:rect fillcolor="#FFFFFF" style="position:absolute;width:1.15pt;height:13.8pt;margin-top:0.05pt;margin-left:440.75pt">
          <v:textbox>
            <w:txbxContent>
              <w:p>
                <w:pPr>
                  <w:pStyle w:val="style23"/>
                  <w:rPr/>
                </w:pPr>
                <w:r>
                  <w:rPr/>
                </w:r>
              </w:p>
            </w:txbxContent>
          </v:textbox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t>POR LA CUAL SE ESTABLECE LA OBLIGACIÓN DE PRESENTAR EN ORIGINAL LOS DOCUMENTOS PERTINENTES Y LOS CERTIFICADOS ESTATUTARIOS EN LAS INSPECCIONES, PARA EFECTUAR CUALQUIER TRÁMITE ANTE LA AUTORIDAD MARÍTIMA  O CUANDO SEAN SOLICITADOS POR ESTA.</w:t>
    </w:r>
    <w:pStyle w:val="style30"/>
    <w:ind w:hanging="0" w:left="0" w:right="360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/>
    </w:pP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3"/>
                  <w:rPr>
                    <w:rStyle w:val="style22"/>
                  </w:rPr>
                </w:pPr>
                <w:r>
                  <w:rPr>
                    <w:rStyle w:val="style22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3"/>
      <w:ind w:hanging="0" w:left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t>POR LA CUAL SE ESTABLECE LA OBLIGACIÓN DE PRESENTAR EN ORIGINAL LOS DOCUMENTOS PERTINENTES Y LOS CERTIFICADOS ESTATUTARIOS EN LAS INSPECCIONES, PARA EFECTUAR CUALQUIER TRÁMITE ANTE LA AUTORIDAD MARÍTIMA  O CUANDO SEAN SOLICITADOS POR ESTA.</w:t>
    </w:r>
    <w:pStyle w:val="style30"/>
    <w:ind w:hanging="0" w:left="0" w:right="360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/>
    </w:pP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3"/>
                  <w:rPr>
                    <w:rStyle w:val="style22"/>
                  </w:rPr>
                </w:pPr>
                <w:r>
                  <w:rPr>
                    <w:rStyle w:val="style22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3"/>
      <w:ind w:hanging="0" w:left="0" w:right="36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pos="2340" w:val="num"/>
        </w:tabs>
        <w:ind w:hanging="360" w:left="234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4"/>
      <w:numFmt w:val="decimal"/>
      <w:lvlText w:val="%3."/>
      <w:lvlJc w:val="left"/>
      <w:pPr>
        <w:tabs>
          <w:tab w:pos="2340" w:val="num"/>
        </w:tabs>
        <w:ind w:hanging="360" w:left="234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pos="1440" w:val="num"/>
        </w:tabs>
        <w:ind w:hanging="360" w:left="1440"/>
      </w:pPr>
      <w:rPr>
        <w:i w:val="false"/>
        <w:b w:val="fals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pos="2340" w:val="num"/>
        </w:tabs>
        <w:ind w:hanging="360" w:left="2340"/>
      </w:pPr>
      <w:rPr>
        <w:i w:val="false"/>
        <w:b w:val="false"/>
      </w:rPr>
    </w:lvl>
    <w:lvl w:ilvl="1">
      <w:start w:val="2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pos="1467" w:val="num"/>
        </w:tabs>
        <w:ind w:hanging="360" w:left="1467"/>
      </w:pPr>
      <w:rPr>
        <w:i w:val="false"/>
        <w:b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jc w:val="center"/>
      <w:outlineLvl w:val="0"/>
    </w:pPr>
    <w:rPr>
      <w:rFonts w:ascii="Arial" w:cs="Arial" w:hAnsi="Arial"/>
      <w:b/>
      <w:bCs/>
    </w:rPr>
  </w:style>
  <w:style w:styleId="style2" w:type="paragraph">
    <w:name w:val="Encabezado 2"/>
    <w:basedOn w:val="style0"/>
    <w:next w:val="style0"/>
    <w:pPr>
      <w:keepNext/>
      <w:numPr>
        <w:ilvl w:val="1"/>
        <w:numId w:val="1"/>
      </w:numPr>
      <w:ind w:hanging="567" w:left="1107" w:right="0"/>
      <w:jc w:val="both"/>
      <w:outlineLvl w:val="1"/>
    </w:pPr>
    <w:rPr>
      <w:rFonts w:ascii="Arial" w:cs="Arial" w:hAnsi="Arial"/>
      <w:b/>
      <w:bCs/>
    </w:rPr>
  </w:style>
  <w:style w:styleId="style5" w:type="paragraph">
    <w:name w:val="Encabezado 5"/>
    <w:basedOn w:val="style0"/>
    <w:next w:val="style0"/>
    <w:pPr>
      <w:keepNext/>
      <w:numPr>
        <w:ilvl w:val="4"/>
        <w:numId w:val="1"/>
      </w:numPr>
      <w:jc w:val="center"/>
      <w:outlineLvl w:val="4"/>
    </w:pPr>
    <w:rPr>
      <w:rFonts w:ascii="Arial" w:cs="Arial" w:hAnsi="Arial"/>
      <w:b/>
      <w:lang w:val="es-MX"/>
    </w:rPr>
  </w:style>
  <w:style w:styleId="style15" w:type="character">
    <w:name w:val="WW8Num1z0"/>
    <w:next w:val="style15"/>
    <w:rPr>
      <w:b w:val="false"/>
      <w:i w:val="false"/>
    </w:rPr>
  </w:style>
  <w:style w:styleId="style16" w:type="character">
    <w:name w:val="WW8Num2z0"/>
    <w:next w:val="style16"/>
    <w:rPr>
      <w:b w:val="false"/>
      <w:i w:val="false"/>
    </w:rPr>
  </w:style>
  <w:style w:styleId="style17" w:type="character">
    <w:name w:val="WW8Num3z0"/>
    <w:next w:val="style17"/>
    <w:rPr>
      <w:b w:val="false"/>
      <w:i w:val="false"/>
    </w:rPr>
  </w:style>
  <w:style w:styleId="style18" w:type="character">
    <w:name w:val="WW8Num4z0"/>
    <w:next w:val="style18"/>
    <w:rPr>
      <w:b w:val="false"/>
      <w:i w:val="false"/>
    </w:rPr>
  </w:style>
  <w:style w:styleId="style19" w:type="character">
    <w:name w:val="WW8Num5z0"/>
    <w:next w:val="style19"/>
    <w:rPr>
      <w:b w:val="false"/>
      <w:i w:val="false"/>
    </w:rPr>
  </w:style>
  <w:style w:styleId="style20" w:type="character">
    <w:name w:val="WW8Num6z0"/>
    <w:next w:val="style20"/>
    <w:rPr>
      <w:b w:val="false"/>
      <w:i w:val="false"/>
    </w:rPr>
  </w:style>
  <w:style w:styleId="style21" w:type="character">
    <w:name w:val="Fuente de párrafo predeter."/>
    <w:next w:val="style21"/>
    <w:rPr/>
  </w:style>
  <w:style w:styleId="style22" w:type="character">
    <w:name w:val="Número de página"/>
    <w:basedOn w:val="style21"/>
    <w:next w:val="style22"/>
    <w:rPr/>
  </w:style>
  <w:style w:styleId="style23" w:type="paragraph">
    <w:name w:val="Encabezado"/>
    <w:basedOn w:val="style0"/>
    <w:next w:val="style23"/>
    <w:pPr>
      <w:tabs>
        <w:tab w:leader="none" w:pos="4419" w:val="center"/>
        <w:tab w:leader="none" w:pos="8838" w:val="right"/>
      </w:tabs>
    </w:pPr>
    <w:rPr/>
  </w:style>
  <w:style w:styleId="style24" w:type="paragraph">
    <w:name w:val="Cuerpo de texto"/>
    <w:basedOn w:val="style0"/>
    <w:next w:val="style24"/>
    <w:pPr>
      <w:widowControl w:val="false"/>
      <w:overflowPunct w:val="false"/>
      <w:autoSpaceDE w:val="false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25" w:type="paragraph">
    <w:name w:val="Lista"/>
    <w:basedOn w:val="style24"/>
    <w:next w:val="style25"/>
    <w:pPr/>
    <w:rPr>
      <w:rFonts w:cs="Lohit Hindi"/>
    </w:rPr>
  </w:style>
  <w:style w:styleId="style26" w:type="paragraph">
    <w:name w:val="Pie de foto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ohit Hindi"/>
    </w:rPr>
  </w:style>
  <w:style w:styleId="style28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9" w:type="paragraph">
    <w:name w:val="Pie de página"/>
    <w:basedOn w:val="style0"/>
    <w:next w:val="style29"/>
    <w:pPr>
      <w:tabs>
        <w:tab w:leader="none" w:pos="4419" w:val="center"/>
        <w:tab w:leader="none" w:pos="8838" w:val="right"/>
      </w:tabs>
    </w:pPr>
    <w:rPr/>
  </w:style>
  <w:style w:styleId="style30" w:type="paragraph">
    <w:name w:val="Texto independiente 2"/>
    <w:basedOn w:val="style0"/>
    <w:next w:val="style30"/>
    <w:pPr>
      <w:tabs>
        <w:tab w:leader="none" w:pos="5245" w:val="left"/>
      </w:tabs>
      <w:jc w:val="both"/>
    </w:pPr>
    <w:rPr>
      <w:rFonts w:ascii="Arial" w:cs="Arial" w:hAnsi="Arial"/>
      <w:sz w:val="18"/>
    </w:rPr>
  </w:style>
  <w:style w:styleId="style31" w:type="paragraph">
    <w:name w:val="Body Text 21"/>
    <w:basedOn w:val="style0"/>
    <w:next w:val="style31"/>
    <w:pPr>
      <w:widowControl w:val="false"/>
      <w:overflowPunct w:val="false"/>
      <w:autoSpaceDE w:val="false"/>
      <w:ind w:hanging="426" w:left="0" w:right="0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2" w:type="paragraph">
    <w:name w:val="Body Text 2"/>
    <w:basedOn w:val="style0"/>
    <w:next w:val="style32"/>
    <w:pPr>
      <w:widowControl w:val="false"/>
      <w:overflowPunct w:val="false"/>
      <w:autoSpaceDE w:val="false"/>
      <w:jc w:val="center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3" w:type="paragraph">
    <w:name w:val="Contenido del marco"/>
    <w:basedOn w:val="style24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2013-02-10T16:00:00Z</dcterms:created>
  <dc:creator>catalina</dc:creator>
  <cp:lastModifiedBy>Clarita</cp:lastModifiedBy>
  <cp:lastPrinted>2002-01-30T16:23:00Z</cp:lastPrinted>
  <dcterms:modified xsi:type="dcterms:W3CDTF">2013-02-10T16:00:00Z</dcterms:modified>
  <cp:revision>2</cp:revision>
</cp:coreProperties>
</file>